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165A16" w:rsidRDefault="00165A16" w:rsidP="00165A16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Phoenix Pharma d.o.o. Beograd, ул. Боре Станковића бр. 2, из Београда, кога заступају директор Иван Банковић и заступник Драган Јовановић</w:t>
      </w:r>
    </w:p>
    <w:p w:rsidR="00165A16" w:rsidRDefault="00165A16" w:rsidP="00165A16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07517807</w:t>
      </w:r>
    </w:p>
    <w:p w:rsidR="00DA1C4C" w:rsidRPr="00165A16" w:rsidRDefault="00165A16" w:rsidP="00165A16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100000266</w:t>
      </w:r>
      <w:r w:rsidRPr="00E47910">
        <w:rPr>
          <w:rFonts w:ascii="Arial" w:eastAsia="Calibri" w:hAnsi="Arial" w:cs="Times New Roman"/>
          <w:sz w:val="20"/>
        </w:rPr>
        <w:t xml:space="preserve"> 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165A16" w:rsidRDefault="0026548B" w:rsidP="0016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165A16" w:rsidRPr="006603B8">
        <w:rPr>
          <w:rFonts w:ascii="Arial" w:eastAsia="Calibri" w:hAnsi="Arial" w:cs="Times New Roman"/>
          <w:b/>
          <w:sz w:val="20"/>
          <w:szCs w:val="20"/>
          <w:lang w:val="sr-Cyrl-CS"/>
        </w:rPr>
        <w:t>4, 5, 6, 7, 8, 9, 10, 12, 13, 14, 22, 26, 27, 28, 29, 30, 31, 67, 69, 70, 81, 86, 87, 96, 105, 106, 111, 115, 116, 119, 122, 125, 133, 134, 135, 145, 146, 147, 153, 163, 168, 169, 170, 171, 173, 177, 178, 180, 181, 184, 194, 195, 196, 197, 207, 208, 209, 214, 215, 216, 217, 218, 230, 234, 235, 236, 239, 240, 241, 245, 246, 247, 248, 249, 250, 251, 257, 258, 259, 264, 265, 266, 269, 270, 271, 272, 273, 277, 278, 287, 288, 293, 294, 296, 301, 302, 303, 306, 307, 314, 323, 324, 338, 339, 340, 355, 356, 360, 366, 367, 370, 371, 372, 373, 374, 380, 382, 384, 387, 388, 391, 402, 403, 404, 405, 409, 410, 411, 415, 416, 418, 420, 421, 422, 423, 426, 436, 437, 443, 444, 450, 451, 455, 458, 459, 465, 466, 468, 470, 476, 494, 495, 496, 497, 502, 503, 504, 505, 506, 507, 508, 512, 513, 516, 517, 518, 520, 521, 527, 528, 532, 533, 534, 535, 543, 544, 545, 546, 551, 554, 555, 559, 561, 566, 567, 569, 570, 575, 576, 577, 578, 583, 584, 585, 587, 591, 592, 593, 603, 604, 605, 606, 610, 611, 612, 614, 615, 626, 627, 628, 633, 634, 635, 636, 637, 643, 645, 646, 647, 650, 652, 656, 657, 663, 664, 665, 667, 670, 676, 677, 678, 683, 695, 698, 710, 711, 713, 714, 715, 716, 717, 718, 719, 725, 726, 727, 730, 735, 736, 738, 739, 744, 745, 746, 747, 748, 749, 762, 766, 767, 768, 780, 781, 782, 784, 785, 787, 788, 791, 795, 797, 798, 803, 804, 808, 810, 814, 821, 822, 823, 828, 829, 830, 833, 839, 840, 841, 854, 855, 856, 857, 863, 864, 873, 874, 875, 876, 879, 880, 885, 886, 887, 894, 896, 897, 904, 909, 910, 915, 916, 917, 922, 923, 931, 932, 940, 942, 943, 949, 950, 951, 967, 968, 969, 974, 975, 976, 977, 996, 997, 1002, 1003, 1004, 1005, 1017, 1018, 1019, 1020, 1021, 1031, 1033, 1034, 1035, 1037, 1038, 1047, 1048, 1053, 1054, 1058, 1059, 1061, 1062, 1063, 1070, 1071, 1072, 1073, 1074, 1083, 1084, 1085, 1087, 1088, 1089, 1090, 1091, 1092, 1093, 1100, 1106, 1111, 1119, 1121, 1122, 1127, 1128, 1132, 1141, 1142, 1143, 1153, 1158, 1159, 1161, 1165, 1170, 1174, 1176, 1177, 1182, 1190, 1196, 1197, 1201, 1202, 1203, 1216, 1217, 1218, 1219, 1220, 1223, 1226, 1227, 1228, 1229, 1262, 1263, 1264, 1265, 1266, 1267, 1272, 1275, 1276, 1277, 1278, 1279, 1281, 1282, 1283, 1284, 1291, 1292, 1293, 1294, 1301, 1302, 1311, 1312, 1313, 1314, 1317, 1318, 1319, 1320, 1325, 1326, 1327, 1328, 1329, 1332, 1337, 1339, 1340, 1341, 1344, 1345, 1346, 1348, 1349, 1351, 1355, 1361, 1366, 1375, 1381, 1382, 1383, 1385, 1387</w:t>
      </w:r>
    </w:p>
    <w:p w:rsidR="00DA1C4C" w:rsidRDefault="00DA1C4C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165A16" w:rsidRPr="00165A16">
        <w:rPr>
          <w:rFonts w:ascii="Arial" w:hAnsi="Arial" w:cs="Arial"/>
          <w:sz w:val="20"/>
          <w:szCs w:val="20"/>
          <w:lang w:val="sr-Cyrl-RS"/>
        </w:rPr>
        <w:t xml:space="preserve">Phoenix Pharma d.o.o. Beograd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165A16">
        <w:rPr>
          <w:rFonts w:ascii="Arial" w:hAnsi="Arial" w:cs="Arial"/>
          <w:sz w:val="20"/>
          <w:szCs w:val="20"/>
        </w:rPr>
        <w:t>40-</w:t>
      </w:r>
      <w:r w:rsidR="00165A16">
        <w:rPr>
          <w:rFonts w:ascii="Arial" w:hAnsi="Arial" w:cs="Arial"/>
          <w:sz w:val="20"/>
          <w:szCs w:val="20"/>
        </w:rPr>
        <w:t>12</w:t>
      </w:r>
      <w:r w:rsidR="00165A16">
        <w:rPr>
          <w:rFonts w:ascii="Arial" w:hAnsi="Arial" w:cs="Arial"/>
          <w:sz w:val="20"/>
          <w:szCs w:val="20"/>
        </w:rPr>
        <w:t xml:space="preserve">/26 </w:t>
      </w:r>
      <w:proofErr w:type="spellStart"/>
      <w:r w:rsidR="00165A16">
        <w:rPr>
          <w:rFonts w:ascii="Arial" w:hAnsi="Arial" w:cs="Arial"/>
          <w:sz w:val="20"/>
          <w:szCs w:val="20"/>
        </w:rPr>
        <w:t>од</w:t>
      </w:r>
      <w:proofErr w:type="spellEnd"/>
      <w:r w:rsidR="00165A16">
        <w:rPr>
          <w:rFonts w:ascii="Arial" w:hAnsi="Arial" w:cs="Arial"/>
          <w:sz w:val="20"/>
          <w:szCs w:val="20"/>
        </w:rPr>
        <w:t xml:space="preserve"> 10.3.2026. </w:t>
      </w:r>
      <w:proofErr w:type="spellStart"/>
      <w:r w:rsidR="00165A1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165A16" w:rsidRDefault="00165A16" w:rsidP="00165A1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bookmarkStart w:id="0" w:name="_GoBack"/>
      <w:bookmarkEnd w:id="0"/>
      <w:r w:rsidR="00541256" w:rsidRPr="00165A1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165A1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165A16">
        <w:rPr>
          <w:rFonts w:ascii="Arial" w:eastAsia="Times New Roman" w:hAnsi="Arial" w:cs="Arial"/>
          <w:sz w:val="20"/>
          <w:szCs w:val="20"/>
        </w:rPr>
        <w:t xml:space="preserve"> </w:t>
      </w:r>
      <w:r w:rsidRPr="00165A16">
        <w:rPr>
          <w:rFonts w:ascii="Arial" w:eastAsia="Times New Roman" w:hAnsi="Arial" w:cs="Arial"/>
          <w:sz w:val="20"/>
          <w:szCs w:val="20"/>
          <w:lang w:val="sr-Cyrl-RS"/>
        </w:rPr>
        <w:t>3 дана од дана пријема захтева Купца</w:t>
      </w:r>
      <w:r w:rsidR="00541256" w:rsidRPr="00165A1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lastRenderedPageBreak/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65A16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8538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16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E4EE-BB82-4F4F-A212-92812A9C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2026-03-12T13:04:00Z</dcterms:modified>
</cp:coreProperties>
</file>