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EB1E9C" w:rsidRDefault="00EB1E9C" w:rsidP="00EB1E9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INO-PHARM d.o.o., из Београда, ул. Боре Станковића бр. 2, кога заступа директор Бојана Петковић и законски заступник Мелинда Танасић</w:t>
      </w:r>
    </w:p>
    <w:p w:rsidR="00EB1E9C" w:rsidRDefault="00EB1E9C" w:rsidP="00EB1E9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Матични број: 17345664</w:t>
      </w:r>
    </w:p>
    <w:p w:rsidR="00DA1C4C" w:rsidRDefault="00EB1E9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  <w:lang w:val="sr-Cyrl-RS"/>
        </w:rPr>
        <w:t>ПИБ: 101743912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26548B" w:rsidRPr="00904941" w:rsidRDefault="0026548B" w:rsidP="00EB1E9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EB1E9C">
        <w:rPr>
          <w:rFonts w:ascii="Arial" w:eastAsia="Calibri" w:hAnsi="Arial" w:cs="Times New Roman"/>
          <w:b/>
          <w:sz w:val="20"/>
          <w:szCs w:val="20"/>
          <w:lang w:val="sr-Cyrl-RS"/>
        </w:rPr>
        <w:t>18, 83, 453, 460, 464, 467, 475</w:t>
      </w:r>
      <w:r w:rsidR="00EB1E9C">
        <w:rPr>
          <w:rFonts w:ascii="Arial" w:eastAsia="Calibri" w:hAnsi="Arial" w:cs="Times New Roman"/>
          <w:b/>
          <w:sz w:val="20"/>
          <w:szCs w:val="20"/>
          <w:lang w:val="sr-Latn-RS"/>
        </w:rPr>
        <w:t xml:space="preserve"> </w:t>
      </w:r>
      <w:r w:rsidR="00EB1E9C">
        <w:rPr>
          <w:rFonts w:ascii="Arial" w:eastAsia="Calibri" w:hAnsi="Arial" w:cs="Times New Roman"/>
          <w:b/>
          <w:sz w:val="20"/>
          <w:szCs w:val="20"/>
          <w:lang w:val="sr-Cyrl-RS"/>
        </w:rPr>
        <w:t>и 877</w:t>
      </w: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EB1E9C" w:rsidRPr="00EB1E9C">
        <w:rPr>
          <w:rFonts w:ascii="Arial" w:hAnsi="Arial" w:cs="Arial"/>
          <w:sz w:val="20"/>
          <w:szCs w:val="20"/>
          <w:lang w:val="sr-Cyrl-RS"/>
        </w:rPr>
        <w:t xml:space="preserve">INO-PHARM d.o.o.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EB1E9C">
        <w:rPr>
          <w:rFonts w:ascii="Arial" w:hAnsi="Arial" w:cs="Arial"/>
          <w:sz w:val="20"/>
          <w:szCs w:val="20"/>
        </w:rPr>
        <w:t>40-</w:t>
      </w:r>
      <w:r w:rsidR="00EB1E9C">
        <w:rPr>
          <w:rFonts w:ascii="Arial" w:hAnsi="Arial" w:cs="Arial"/>
          <w:sz w:val="20"/>
          <w:szCs w:val="20"/>
        </w:rPr>
        <w:t>8</w:t>
      </w:r>
      <w:r w:rsidR="00EB1E9C">
        <w:rPr>
          <w:rFonts w:ascii="Arial" w:hAnsi="Arial" w:cs="Arial"/>
          <w:sz w:val="20"/>
          <w:szCs w:val="20"/>
        </w:rPr>
        <w:t xml:space="preserve">/26 </w:t>
      </w:r>
      <w:proofErr w:type="spellStart"/>
      <w:r w:rsidR="00EB1E9C">
        <w:rPr>
          <w:rFonts w:ascii="Arial" w:hAnsi="Arial" w:cs="Arial"/>
          <w:sz w:val="20"/>
          <w:szCs w:val="20"/>
        </w:rPr>
        <w:t>од</w:t>
      </w:r>
      <w:proofErr w:type="spellEnd"/>
      <w:r w:rsidR="00EB1E9C">
        <w:rPr>
          <w:rFonts w:ascii="Arial" w:hAnsi="Arial" w:cs="Arial"/>
          <w:sz w:val="20"/>
          <w:szCs w:val="20"/>
        </w:rPr>
        <w:t xml:space="preserve"> 10.3.2026. </w:t>
      </w:r>
      <w:proofErr w:type="spellStart"/>
      <w:r w:rsidR="00EB1E9C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EB1E9C" w:rsidRDefault="00EB1E9C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EB1E9C" w:rsidRDefault="00EB1E9C" w:rsidP="00EB1E9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</w:t>
      </w:r>
      <w:bookmarkStart w:id="0" w:name="_GoBack"/>
      <w:bookmarkEnd w:id="0"/>
      <w:r w:rsidR="00541256" w:rsidRPr="00EB1E9C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EB1E9C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EB1E9C">
        <w:rPr>
          <w:rFonts w:ascii="Arial" w:eastAsia="Times New Roman" w:hAnsi="Arial" w:cs="Arial"/>
          <w:sz w:val="20"/>
          <w:szCs w:val="20"/>
        </w:rPr>
        <w:t xml:space="preserve"> </w:t>
      </w:r>
      <w:r w:rsidRPr="00EB1E9C">
        <w:rPr>
          <w:rFonts w:ascii="Arial" w:eastAsia="Times New Roman" w:hAnsi="Arial" w:cs="Arial"/>
          <w:sz w:val="20"/>
          <w:szCs w:val="20"/>
          <w:lang w:val="sr-Cyrl-RS"/>
        </w:rPr>
        <w:t>1 дан од дана пријема захтева Купца</w:t>
      </w:r>
      <w:r w:rsidR="00541256" w:rsidRPr="00EB1E9C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lastRenderedPageBreak/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B1E9C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2C8E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rsid w:val="00EB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A154-F050-4AB3-996A-9594046B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2026-03-12T12:59:00Z</dcterms:modified>
</cp:coreProperties>
</file>