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1978E6" w:rsidRDefault="001978E6" w:rsidP="001978E6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FARMALOGIST D.O.O. BEOGRAD, из Београда, ул. Миријевски булевар бр. 3, кога заступа директор Данијела Радмановић</w:t>
      </w:r>
    </w:p>
    <w:p w:rsidR="001978E6" w:rsidRDefault="001978E6" w:rsidP="001978E6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17408933</w:t>
      </w:r>
    </w:p>
    <w:p w:rsidR="00DA1C4C" w:rsidRDefault="001978E6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100270693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</w:t>
      </w:r>
      <w:r w:rsidR="001978E6">
        <w:rPr>
          <w:rFonts w:ascii="Arial" w:eastAsia="Times New Roman" w:hAnsi="Arial" w:cs="Arial"/>
          <w:sz w:val="20"/>
          <w:szCs w:val="20"/>
          <w:lang w:val="sr-Latn-RS"/>
        </w:rPr>
        <w:t>6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17704" w:rsidRPr="00817704">
        <w:rPr>
          <w:rFonts w:ascii="Arial" w:hAnsi="Arial" w:cs="Arial"/>
          <w:b/>
          <w:sz w:val="20"/>
          <w:szCs w:val="20"/>
          <w:lang w:val="sr-Cyrl-RS"/>
        </w:rPr>
        <w:t>404-1-110/25-137</w:t>
      </w:r>
    </w:p>
    <w:p w:rsidR="001978E6" w:rsidRDefault="0026548B" w:rsidP="001978E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1978E6">
        <w:rPr>
          <w:rFonts w:ascii="Arial" w:eastAsia="Calibri" w:hAnsi="Arial" w:cs="Times New Roman"/>
          <w:b/>
          <w:sz w:val="20"/>
          <w:szCs w:val="20"/>
          <w:lang w:val="sr-Cyrl-RS"/>
        </w:rPr>
        <w:t>2, 3, 11, 15, 16, 21, 23, 34, 35, 43, 45, 46, 47, 59, 66, 68, 72, 73, 74, 75, 76, 77, 78, 79, 92, 93, 94, 100, 102, 107, 108, 109, 117, 121, 123, 127, 128, 129, 130, 136, 162, 164, 165, 174, 182, 183, 192, 198, 199, 200, 201, 202, 205, 210, 211, 212, 213, 224, 225, 228, 229, 231, 232, 233, 237, 238, 252, 253, 274, 275, 280, 281, 284, 285, 291, 292, 295, 297, 298, 304, 305, 308, 311, 312, 313, 315, 316, 341, 348, 349, 350, 351, 352, 353, 354, 357, 359, 361, 363, 365, 395, 398, 399, 400, 401, 412, 413, 427, 428, 430, 431, 432, 433, 434, 438, 439, 446, 454, 456, 461, 463, 477, 478, 479, 481, 482, 483, 484, 485, 487, 498, 499, 500, 501, 525, 529, 530, 531, 552, 553, 563, 564, 579, 580, 581, 586, 588, 589, 590, 597, 598, 599, 607, 608, 609, 623, 624, 625, 629, 630, 631, 632, 639, 641, 654, 684, 685, 686, 691, 692, 699, 700, 705, 706, 707, 708, 709, 721, 722, 724, 733, 737, 742, 743, 752, 753, 754, 755, 756, 757, 759, 760, 761, 763, 764, 765, 769, 770, 771, 772, 773, 775, 783, 790, 792, 796, 801, 806, 813, 817, 819, 824, 825, 826, 827, 831, 834, 835, 836, 837, 838, 862, 866, 867, 878, 881, 882, 891, 892, 893, 895, 908, 911, 912, 913, 914, 919, 921, 926, 927, 934, 935, 938, 939, 941, 944, 945, 946, 948, 952, 953, 954, 955, 956, 957, 958, 959, 962, 964, 965, 966, 970, 971, 972, 973, 998, 999, 1000, 1001, 1006, 1007, 1008, 1013, 1014, 1015, 1016, 1022, 1023, 1024, 1025, 1032, 1049, 1050, 1051, 1052, 1057, 1075, 1079, 1080, 1081, 1086, 1094, 1095, 1101, 1102, 1103, 1112, 1113, 1114, 1123, 1124, 1125, 1129, 1131, 1133, 1136, 1137, 1144, 1154, 1155, 1162, 1163, 1175, 1183, 1193, 1194, 1195, 1198, 1199, 1200, 1212, 1213, 1214, 1215, 1221, 1224, 1225, 1230, 1231, 1232, 1236, 1237, 1238, 1239, 1245, 1246, 1247, 1248, 1252, 1253, 1254, 1255, 1258, 1259, 1273, 1287, 1288, 1295, 1296, 1297, 1298, 1304, 1305, 1306, 1310, 1315, 1316, 1330, 1331, 1338, 1347, 1350, 1352, 1353, 1354, 1356, 1357, 1358, 1359, 1360, 1362, 1363, 1364, 1379, 1380, 1388 и 1389</w:t>
      </w:r>
    </w:p>
    <w:p w:rsidR="00DA1C4C" w:rsidRDefault="00DA1C4C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</w:p>
    <w:p w:rsidR="001978E6" w:rsidRDefault="001978E6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</w:p>
    <w:p w:rsidR="001978E6" w:rsidRDefault="001978E6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lastRenderedPageBreak/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Лекови са Листе А </w:t>
      </w:r>
      <w:r w:rsidR="00064264">
        <w:rPr>
          <w:rFonts w:ascii="Arial" w:hAnsi="Arial" w:cs="Arial"/>
          <w:sz w:val="20"/>
          <w:szCs w:val="20"/>
          <w:lang w:val="sr-Cyrl-RS"/>
        </w:rPr>
        <w:t xml:space="preserve">и Листе А1 </w:t>
      </w:r>
      <w:r w:rsidRPr="00541256">
        <w:rPr>
          <w:rFonts w:ascii="Arial" w:hAnsi="Arial" w:cs="Arial"/>
          <w:sz w:val="20"/>
          <w:szCs w:val="20"/>
          <w:lang w:val="sr-Cyrl-RS"/>
        </w:rPr>
        <w:t>Листе лекова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817704" w:rsidRPr="00CB4124">
        <w:rPr>
          <w:rFonts w:ascii="Arial" w:hAnsi="Arial" w:cs="Arial"/>
          <w:sz w:val="20"/>
          <w:szCs w:val="20"/>
          <w:lang w:val="sr-Cyrl-RS"/>
        </w:rPr>
        <w:t>404-1-110/25-137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1978E6" w:rsidRPr="001978E6">
        <w:rPr>
          <w:rFonts w:ascii="Arial" w:hAnsi="Arial" w:cs="Arial"/>
          <w:sz w:val="20"/>
          <w:szCs w:val="20"/>
          <w:lang w:val="sr-Cyrl-RS"/>
        </w:rPr>
        <w:t xml:space="preserve">FARMALOGIST D.O.O. BEOGRAD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432F" w:rsidRPr="00AF5A27">
        <w:rPr>
          <w:rStyle w:val="fontstyle01"/>
          <w:lang w:val="sr-Cyrl-RS"/>
        </w:rPr>
        <w:t>30-08/13 број: 405-768/25-</w:t>
      </w:r>
      <w:proofErr w:type="gramStart"/>
      <w:r w:rsidR="0049432F" w:rsidRPr="00AF5A27">
        <w:rPr>
          <w:rStyle w:val="fontstyle01"/>
          <w:lang w:val="sr-Cyrl-RS"/>
        </w:rPr>
        <w:t>30</w:t>
      </w:r>
      <w:r w:rsidR="0049432F">
        <w:t xml:space="preserve"> 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од</w:t>
      </w:r>
      <w:proofErr w:type="gramEnd"/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432F">
        <w:rPr>
          <w:rFonts w:ascii="Arial" w:eastAsia="Times New Roman" w:hAnsi="Arial" w:cs="Arial"/>
          <w:sz w:val="20"/>
          <w:szCs w:val="20"/>
        </w:rPr>
        <w:t>24.2.2026</w:t>
      </w:r>
      <w:r w:rsidR="0049432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1978E6">
        <w:rPr>
          <w:rFonts w:ascii="Arial" w:hAnsi="Arial" w:cs="Arial"/>
          <w:sz w:val="20"/>
          <w:szCs w:val="20"/>
        </w:rPr>
        <w:t>40-</w:t>
      </w:r>
      <w:r w:rsidR="001978E6">
        <w:rPr>
          <w:rFonts w:ascii="Arial" w:hAnsi="Arial" w:cs="Arial"/>
          <w:sz w:val="20"/>
          <w:szCs w:val="20"/>
        </w:rPr>
        <w:t>6</w:t>
      </w:r>
      <w:r w:rsidR="001978E6">
        <w:rPr>
          <w:rFonts w:ascii="Arial" w:hAnsi="Arial" w:cs="Arial"/>
          <w:sz w:val="20"/>
          <w:szCs w:val="20"/>
        </w:rPr>
        <w:t xml:space="preserve">/26 </w:t>
      </w:r>
      <w:proofErr w:type="spellStart"/>
      <w:r w:rsidR="001978E6">
        <w:rPr>
          <w:rFonts w:ascii="Arial" w:hAnsi="Arial" w:cs="Arial"/>
          <w:sz w:val="20"/>
          <w:szCs w:val="20"/>
        </w:rPr>
        <w:t>од</w:t>
      </w:r>
      <w:proofErr w:type="spellEnd"/>
      <w:r w:rsidR="001978E6">
        <w:rPr>
          <w:rFonts w:ascii="Arial" w:hAnsi="Arial" w:cs="Arial"/>
          <w:sz w:val="20"/>
          <w:szCs w:val="20"/>
        </w:rPr>
        <w:t xml:space="preserve"> 10.3.2026. </w:t>
      </w:r>
      <w:proofErr w:type="spellStart"/>
      <w:r w:rsidR="001978E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CB4124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49432F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1978E6" w:rsidRDefault="001978E6" w:rsidP="001978E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1978E6" w:rsidRDefault="001978E6" w:rsidP="001978E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</w:t>
      </w:r>
      <w:bookmarkStart w:id="0" w:name="_GoBack"/>
      <w:bookmarkEnd w:id="0"/>
      <w:r w:rsidR="00541256" w:rsidRPr="001978E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1978E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1978E6">
        <w:rPr>
          <w:rFonts w:ascii="Arial" w:eastAsia="Times New Roman" w:hAnsi="Arial" w:cs="Arial"/>
          <w:sz w:val="20"/>
          <w:szCs w:val="20"/>
        </w:rPr>
        <w:t xml:space="preserve"> </w:t>
      </w:r>
      <w:r w:rsidRPr="001978E6">
        <w:rPr>
          <w:rFonts w:ascii="Arial" w:eastAsia="Times New Roman" w:hAnsi="Arial" w:cs="Arial"/>
          <w:sz w:val="20"/>
          <w:szCs w:val="20"/>
          <w:lang w:val="sr-Cyrl-RS"/>
        </w:rPr>
        <w:t>1 дан од дана потврде пријема захтева Купца</w:t>
      </w:r>
      <w:r w:rsidR="00541256" w:rsidRPr="001978E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lastRenderedPageBreak/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978E6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9432F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124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DECC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rsid w:val="0019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F805-0794-4C58-8680-7453B565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8</cp:revision>
  <cp:lastPrinted>2022-05-20T11:38:00Z</cp:lastPrinted>
  <dcterms:created xsi:type="dcterms:W3CDTF">2024-04-04T13:08:00Z</dcterms:created>
  <dcterms:modified xsi:type="dcterms:W3CDTF">2026-03-12T12:57:00Z</dcterms:modified>
</cp:coreProperties>
</file>