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08" w:rsidRDefault="001E4708" w:rsidP="008D56B9">
      <w:pPr>
        <w:keepNext/>
        <w:keepLines/>
        <w:spacing w:after="0" w:line="276" w:lineRule="auto"/>
        <w:ind w:right="245"/>
        <w:jc w:val="both"/>
        <w:outlineLvl w:val="0"/>
        <w:rPr>
          <w:rFonts w:ascii="Arial" w:eastAsia="Times New Roman" w:hAnsi="Arial" w:cs="Times New Roman"/>
          <w:i/>
          <w:iCs/>
          <w:color w:val="808080" w:themeColor="background1" w:themeShade="80"/>
          <w:sz w:val="20"/>
          <w:szCs w:val="20"/>
          <w:shd w:val="clear" w:color="auto" w:fill="FFFFFF"/>
          <w:lang w:val="sr-Cyrl-RS" w:eastAsia="x-none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930D3" w:rsidRPr="00430979" w:rsidRDefault="005930D3" w:rsidP="005930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D44263">
        <w:rPr>
          <w:rFonts w:ascii="Arial" w:eastAsia="Arial" w:hAnsi="Arial" w:cs="Arial"/>
          <w:b/>
          <w:color w:val="000000"/>
          <w:sz w:val="20"/>
          <w:lang w:val="sr-Cyrl-RS"/>
        </w:rPr>
        <w:t>UNI-CHEM DOO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44263">
        <w:rPr>
          <w:rFonts w:ascii="Arial" w:eastAsia="Arial" w:hAnsi="Arial" w:cs="Arial"/>
          <w:b/>
          <w:color w:val="000000"/>
          <w:sz w:val="20"/>
          <w:lang w:val="sr-Cyrl-RS"/>
        </w:rPr>
        <w:t>Црнотравска бр. 27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44263"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:rsidR="005930D3" w:rsidRDefault="005930D3" w:rsidP="005930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D44263">
        <w:rPr>
          <w:rFonts w:ascii="Arial" w:eastAsia="Arial" w:hAnsi="Arial" w:cs="Arial"/>
          <w:color w:val="000000"/>
          <w:sz w:val="20"/>
        </w:rPr>
        <w:t>17167677</w:t>
      </w:r>
    </w:p>
    <w:p w:rsidR="00DA1C4C" w:rsidRDefault="005930D3" w:rsidP="005930D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D44263"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</w:t>
      </w:r>
      <w:r w:rsidR="005930D3">
        <w:rPr>
          <w:rFonts w:ascii="Arial" w:eastAsia="Times New Roman" w:hAnsi="Arial" w:cs="Arial"/>
          <w:sz w:val="20"/>
          <w:szCs w:val="20"/>
          <w:lang w:val="sr-Latn-RS"/>
        </w:rPr>
        <w:t>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24-5</w:t>
      </w:r>
    </w:p>
    <w:p w:rsidR="00DA1C4C" w:rsidRPr="005930D3" w:rsidRDefault="005930D3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</w:t>
      </w:r>
      <w:r w:rsidR="0026548B"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1, 2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И 3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24-5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930D3" w:rsidRPr="005930D3">
        <w:rPr>
          <w:rFonts w:ascii="Arial" w:hAnsi="Arial" w:cs="Arial"/>
          <w:sz w:val="20"/>
          <w:szCs w:val="20"/>
          <w:lang w:val="sr-Cyrl-RS"/>
        </w:rPr>
        <w:t>UNI-CHEM DOO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930D3" w:rsidRPr="005930D3">
        <w:rPr>
          <w:rFonts w:ascii="Arial" w:hAnsi="Arial" w:cs="Arial"/>
          <w:sz w:val="20"/>
          <w:szCs w:val="20"/>
          <w:lang w:val="sr-Cyrl-RS"/>
        </w:rPr>
        <w:t>Одлуке 30-08/13 број 404.01-7/2024-11 од 15.03.2024.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930D3">
        <w:rPr>
          <w:rFonts w:ascii="Arial" w:hAnsi="Arial" w:cs="Arial"/>
          <w:sz w:val="20"/>
          <w:szCs w:val="20"/>
          <w:lang w:val="sr-Cyrl-RS"/>
        </w:rPr>
        <w:t>26-1/24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930D3">
        <w:rPr>
          <w:rFonts w:ascii="Arial" w:hAnsi="Arial" w:cs="Arial"/>
          <w:sz w:val="20"/>
          <w:szCs w:val="20"/>
          <w:lang w:val="sr-Cyrl-RS"/>
        </w:rPr>
        <w:t>19.03.2024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930D3" w:rsidRPr="005930D3">
        <w:rPr>
          <w:rFonts w:ascii="Arial" w:eastAsia="Times New Roman" w:hAnsi="Arial" w:cs="Arial"/>
          <w:sz w:val="20"/>
          <w:szCs w:val="20"/>
        </w:rPr>
        <w:t>3 (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три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5930D3" w:rsidRPr="005930D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930D3" w:rsidRPr="005930D3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lastRenderedPageBreak/>
        <w:t xml:space="preserve">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2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30D3" w:rsidRPr="001F46B9" w:rsidTr="006411C8">
        <w:trPr>
          <w:jc w:val="center"/>
        </w:trPr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КУПАЦ</w:t>
            </w: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:</w:t>
            </w:r>
          </w:p>
        </w:tc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ДОБАВЉАЧ:</w:t>
            </w: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675" w:type="dxa"/>
            <w:vAlign w:val="center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  <w:vAlign w:val="bottom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4675" w:type="dxa"/>
            <w:vAlign w:val="bottom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 w:rsidRPr="001F46B9"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___________________________</w:t>
            </w:r>
          </w:p>
        </w:tc>
      </w:tr>
      <w:tr w:rsidR="005930D3" w:rsidRPr="001F46B9" w:rsidTr="006411C8">
        <w:trPr>
          <w:jc w:val="center"/>
        </w:trPr>
        <w:tc>
          <w:tcPr>
            <w:tcW w:w="4675" w:type="dxa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5930D3" w:rsidRPr="001F46B9" w:rsidRDefault="005930D3" w:rsidP="006411C8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</w:tr>
    </w:tbl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1108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930D3"/>
    <w:rsid w:val="005A230D"/>
    <w:rsid w:val="005A3386"/>
    <w:rsid w:val="005B15B6"/>
    <w:rsid w:val="005C1916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4AF7A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9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84B0-7416-41C3-BC3C-BD2CD219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3</cp:revision>
  <cp:lastPrinted>2022-05-20T11:38:00Z</cp:lastPrinted>
  <dcterms:created xsi:type="dcterms:W3CDTF">2024-03-19T06:22:00Z</dcterms:created>
  <dcterms:modified xsi:type="dcterms:W3CDTF">2024-03-19T06:28:00Z</dcterms:modified>
</cp:coreProperties>
</file>