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1A3F6E" w:rsidRPr="001A3F6E" w:rsidRDefault="001A3F6E" w:rsidP="001A3F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1A3F6E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>: XXXX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sz w:val="20"/>
          <w:szCs w:val="20"/>
        </w:rPr>
        <w:t>ПИБ: XXXXX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1A3F6E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1A3F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1A3F6E" w:rsidRPr="001A3F6E" w:rsidRDefault="001A3F6E" w:rsidP="001A3F6E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1A3F6E">
        <w:rPr>
          <w:rFonts w:ascii="Arial" w:eastAsia="Times New Roman" w:hAnsi="Arial" w:cs="Arial"/>
          <w:sz w:val="20"/>
          <w:szCs w:val="20"/>
        </w:rPr>
        <w:t xml:space="preserve">  (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5E6E8F" w:rsidRPr="005E6E8F" w:rsidRDefault="005E6E8F" w:rsidP="005E6E8F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5E6E8F">
        <w:rPr>
          <w:rFonts w:ascii="Arial" w:eastAsia="Calibri" w:hAnsi="Arial" w:cs="Arial"/>
          <w:b/>
          <w:sz w:val="20"/>
          <w:szCs w:val="20"/>
          <w:lang w:val="sr-Cyrl-RS"/>
        </w:rPr>
        <w:t>MEDICA LINEA PHARM d.o.o, ул. Страхињића бана, бр. 10, дворишна зграда, из Београда, кога заступа директор Слободанка Живковић</w:t>
      </w:r>
    </w:p>
    <w:p w:rsidR="005E6E8F" w:rsidRPr="005E6E8F" w:rsidRDefault="005E6E8F" w:rsidP="005E6E8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5E6E8F">
        <w:rPr>
          <w:rFonts w:ascii="Arial" w:eastAsia="Calibri" w:hAnsi="Arial" w:cs="Arial"/>
          <w:sz w:val="20"/>
          <w:szCs w:val="20"/>
          <w:lang w:val="sr-Cyrl-RS"/>
        </w:rPr>
        <w:t>Матични број: 20778121</w:t>
      </w:r>
    </w:p>
    <w:p w:rsidR="005E6E8F" w:rsidRPr="005E6E8F" w:rsidRDefault="005E6E8F" w:rsidP="005E6E8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5E6E8F">
        <w:rPr>
          <w:rFonts w:ascii="Arial" w:eastAsia="Calibri" w:hAnsi="Arial" w:cs="Arial"/>
          <w:sz w:val="20"/>
          <w:szCs w:val="20"/>
          <w:lang w:val="sr-Cyrl-RS"/>
        </w:rPr>
        <w:t>ПИБ: 107304324</w:t>
      </w:r>
    </w:p>
    <w:p w:rsidR="005E6E8F" w:rsidRPr="005E6E8F" w:rsidRDefault="005E6E8F" w:rsidP="005E6E8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5E6E8F">
        <w:rPr>
          <w:rFonts w:ascii="Arial" w:eastAsia="Calibri" w:hAnsi="Arial" w:cs="Arial"/>
          <w:sz w:val="20"/>
          <w:szCs w:val="20"/>
          <w:lang w:val="sr-Cyrl-RS"/>
        </w:rPr>
        <w:t>Број рачуна: 380-248-05 који се води код MIRABANK a.d.</w:t>
      </w:r>
    </w:p>
    <w:p w:rsidR="005E6E8F" w:rsidRPr="005E6E8F" w:rsidRDefault="005E6E8F" w:rsidP="005E6E8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5E6E8F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1A3F6E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1A3F6E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1A3F6E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1A3F6E" w:rsidRPr="001A3F6E" w:rsidRDefault="001A3F6E" w:rsidP="001A3F6E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1A3F6E">
        <w:rPr>
          <w:rFonts w:ascii="Arial" w:eastAsia="Times New Roman" w:hAnsi="Arial" w:cs="Arial"/>
          <w:b/>
          <w:sz w:val="20"/>
          <w:szCs w:val="20"/>
          <w:lang w:val="sr-Cyrl-RS"/>
        </w:rPr>
        <w:t>ЛЕКОВА</w:t>
      </w:r>
      <w:r w:rsidRPr="001A3F6E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 </w:t>
      </w:r>
      <w:r w:rsidRPr="001A3F6E">
        <w:rPr>
          <w:rFonts w:ascii="Arial" w:eastAsia="Times New Roman" w:hAnsi="Arial" w:cs="Arial"/>
          <w:b/>
          <w:sz w:val="20"/>
          <w:szCs w:val="20"/>
          <w:lang w:val="sr-Cyrl-RS"/>
        </w:rPr>
        <w:t>ЗА ЛЕЧЕЊЕ РЕТКИХ БОЛЕСТИ КОЈИ СЕ ФИНАНСИРАЈУ ИЗ СРЕДСТАВА ОБАВЕЗНОГ ЗДРАВСТВЕНОГ ОСИГУРАЊА</w:t>
      </w:r>
      <w:r w:rsidRPr="001A3F6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1A3F6E" w:rsidRPr="001A3F6E" w:rsidRDefault="001A3F6E" w:rsidP="001A3F6E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1A3F6E" w:rsidRPr="001A3F6E" w:rsidRDefault="001A3F6E" w:rsidP="001A3F6E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1A3F6E" w:rsidRPr="001A3F6E" w:rsidRDefault="001A3F6E" w:rsidP="001A3F6E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tabs>
          <w:tab w:val="left" w:pos="1710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1A3F6E" w:rsidRPr="001A3F6E" w:rsidRDefault="001A3F6E" w:rsidP="005E6E8F">
      <w:pPr>
        <w:widowControl w:val="0"/>
        <w:numPr>
          <w:ilvl w:val="2"/>
          <w:numId w:val="1"/>
        </w:numPr>
        <w:spacing w:before="60" w:afterLines="60" w:after="144" w:line="230" w:lineRule="atLeast"/>
        <w:ind w:left="1710" w:hanging="537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за лечење ретких болести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1A3F6E">
        <w:rPr>
          <w:rFonts w:ascii="Arial" w:eastAsia="Arial" w:hAnsi="Arial" w:cs="Arial"/>
          <w:color w:val="000000"/>
          <w:sz w:val="20"/>
        </w:rPr>
        <w:t>2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1-11, </w:t>
      </w:r>
    </w:p>
    <w:p w:rsidR="001A3F6E" w:rsidRPr="001A3F6E" w:rsidRDefault="001A3F6E" w:rsidP="005E6E8F">
      <w:pPr>
        <w:widowControl w:val="0"/>
        <w:numPr>
          <w:ilvl w:val="2"/>
          <w:numId w:val="1"/>
        </w:numPr>
        <w:spacing w:before="60" w:afterLines="60" w:after="144" w:line="230" w:lineRule="atLeast"/>
        <w:ind w:left="171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proofErr w:type="spellStart"/>
      <w:r w:rsidR="005E6E8F">
        <w:rPr>
          <w:rFonts w:ascii="Arial" w:eastAsia="Arial" w:hAnsi="Arial" w:cs="Arial"/>
          <w:color w:val="000000"/>
          <w:sz w:val="20"/>
        </w:rPr>
        <w:t>Medica</w:t>
      </w:r>
      <w:proofErr w:type="spellEnd"/>
      <w:r w:rsidR="005E6E8F">
        <w:rPr>
          <w:rFonts w:ascii="Arial" w:eastAsia="Arial" w:hAnsi="Arial" w:cs="Arial"/>
          <w:color w:val="000000"/>
          <w:sz w:val="20"/>
        </w:rPr>
        <w:t xml:space="preserve"> Linea Pharm </w:t>
      </w:r>
      <w:proofErr w:type="spellStart"/>
      <w:r w:rsidR="005E6E8F">
        <w:rPr>
          <w:rFonts w:ascii="Arial" w:eastAsia="Arial" w:hAnsi="Arial" w:cs="Arial"/>
          <w:color w:val="000000"/>
          <w:sz w:val="20"/>
        </w:rPr>
        <w:t>d.o.o</w:t>
      </w:r>
      <w:proofErr w:type="spellEnd"/>
      <w:r w:rsidR="005E6E8F">
        <w:rPr>
          <w:rFonts w:ascii="Arial" w:eastAsia="Arial" w:hAnsi="Arial" w:cs="Arial"/>
          <w:i/>
          <w:color w:val="000000"/>
          <w:sz w:val="20"/>
        </w:rPr>
        <w:t>,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на основу Одлуке бр. </w:t>
      </w:r>
      <w:r w:rsidR="005E6E8F" w:rsidRPr="005E6E8F">
        <w:rPr>
          <w:rFonts w:ascii="Arial" w:eastAsia="Calibri" w:hAnsi="Arial" w:cs="Arial"/>
          <w:sz w:val="20"/>
          <w:szCs w:val="20"/>
          <w:lang w:val="sr-Latn-RS"/>
        </w:rPr>
        <w:t xml:space="preserve">404-1-11/21-32 од 23.06.2021. </w:t>
      </w:r>
      <w:r w:rsidR="005E6E8F" w:rsidRPr="005E6E8F">
        <w:rPr>
          <w:rFonts w:ascii="Arial" w:eastAsia="Calibri" w:hAnsi="Arial" w:cs="Arial"/>
          <w:sz w:val="20"/>
          <w:szCs w:val="20"/>
          <w:lang w:val="sr-Cyrl-RS"/>
        </w:rPr>
        <w:t>године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1A3F6E" w:rsidRPr="001A3F6E" w:rsidRDefault="001A3F6E" w:rsidP="005E6E8F">
      <w:pPr>
        <w:widowControl w:val="0"/>
        <w:numPr>
          <w:ilvl w:val="2"/>
          <w:numId w:val="1"/>
        </w:numPr>
        <w:spacing w:before="60" w:afterLines="60" w:after="144" w:line="230" w:lineRule="atLeast"/>
        <w:ind w:left="1800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5E6E8F">
        <w:rPr>
          <w:rFonts w:ascii="Arial" w:eastAsia="Arial" w:hAnsi="Arial" w:cs="Arial"/>
          <w:color w:val="000000"/>
          <w:sz w:val="20"/>
        </w:rPr>
        <w:t>37-12/21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5E6E8F">
        <w:rPr>
          <w:rFonts w:ascii="Arial" w:eastAsia="Arial" w:hAnsi="Arial" w:cs="Arial"/>
          <w:color w:val="000000"/>
          <w:sz w:val="20"/>
        </w:rPr>
        <w:t>06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5E6E8F">
        <w:rPr>
          <w:rFonts w:ascii="Arial" w:eastAsia="Arial" w:hAnsi="Arial" w:cs="Arial"/>
          <w:color w:val="000000"/>
          <w:sz w:val="20"/>
        </w:rPr>
        <w:t>07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1A3F6E">
        <w:rPr>
          <w:rFonts w:ascii="Arial" w:eastAsia="Arial" w:hAnsi="Arial" w:cs="Arial"/>
          <w:color w:val="000000"/>
          <w:sz w:val="20"/>
        </w:rPr>
        <w:t>1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1A3F6E">
        <w:rPr>
          <w:rFonts w:ascii="Arial" w:eastAsia="Arial" w:hAnsi="Arial" w:cs="Arial"/>
          <w:color w:val="000000"/>
          <w:sz w:val="20"/>
        </w:rPr>
        <w:t xml:space="preserve"> </w:t>
      </w:r>
      <w:r w:rsidRPr="001A3F6E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</w:t>
      </w:r>
      <w:r w:rsidR="005E6E8F">
        <w:rPr>
          <w:rFonts w:ascii="Arial" w:eastAsia="Calibri" w:hAnsi="Arial" w:cs="Arial"/>
          <w:sz w:val="20"/>
          <w:szCs w:val="20"/>
        </w:rPr>
        <w:t>a</w:t>
      </w:r>
      <w:r w:rsidRPr="001A3F6E">
        <w:rPr>
          <w:rFonts w:ascii="Arial" w:eastAsia="Calibri" w:hAnsi="Arial" w:cs="Arial"/>
          <w:sz w:val="20"/>
          <w:szCs w:val="20"/>
          <w:lang w:val="sr-Cyrl-RS"/>
        </w:rPr>
        <w:t>зум)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before="60" w:afterLines="60" w:after="144" w:line="228" w:lineRule="auto"/>
        <w:ind w:left="171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710" w:right="2" w:hanging="51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1A3F6E" w:rsidRPr="001A3F6E" w:rsidRDefault="001A3F6E" w:rsidP="005E6E8F">
      <w:pPr>
        <w:numPr>
          <w:ilvl w:val="1"/>
          <w:numId w:val="1"/>
        </w:numPr>
        <w:spacing w:after="135" w:line="228" w:lineRule="auto"/>
        <w:ind w:left="1710" w:right="2" w:hanging="51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>Купац је у обавези да изврши куповину уговорених добара и у целости реализује овај уговор.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620" w:right="2" w:hanging="42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у Спецификацији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620" w:right="2" w:hanging="42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620" w:right="2" w:hanging="4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620" w:right="2" w:hanging="42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3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3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Одлуке о највишим ценама лекова за употребу у хуманој медицини,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3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3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1A3F6E" w:rsidRPr="001A3F6E" w:rsidRDefault="001A3F6E" w:rsidP="001A3F6E">
      <w:pPr>
        <w:widowControl w:val="0"/>
        <w:spacing w:after="135" w:line="228" w:lineRule="auto"/>
        <w:ind w:left="1560" w:right="2" w:hanging="993"/>
        <w:jc w:val="both"/>
        <w:rPr>
          <w:rFonts w:ascii="Arial" w:eastAsia="Arial" w:hAnsi="Arial" w:cs="Arial"/>
          <w:b/>
          <w:i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i/>
          <w:color w:val="000000"/>
          <w:sz w:val="20"/>
          <w:lang w:val="sr-Cyrl-RS"/>
        </w:rPr>
        <w:t>Напомена: (уколико је предмет уговора само лек, односно лекови који нису регистровани у Републици Србији, тачка 3.6. се брише)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before="100" w:after="100" w:line="228" w:lineRule="auto"/>
        <w:ind w:left="1620" w:hanging="43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before="100" w:after="100" w:line="228" w:lineRule="auto"/>
        <w:ind w:left="1620" w:hanging="43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, из члана 2. овог уговора испоручити Купцу према потребама Купца, и то у року од </w:t>
      </w:r>
      <w:r w:rsidR="005E6E8F" w:rsidRPr="005E6E8F">
        <w:rPr>
          <w:rFonts w:ascii="Arial" w:eastAsia="Arial" w:hAnsi="Arial" w:cs="Arial"/>
          <w:color w:val="000000"/>
          <w:sz w:val="20"/>
          <w:lang w:val="sr-Cyrl-RS"/>
        </w:rPr>
        <w:t>24 сата од дана пријема писменог захтева купца (здравствене установе</w:t>
      </w:r>
      <w:r w:rsidRPr="001A3F6E">
        <w:rPr>
          <w:rFonts w:ascii="Arial" w:eastAsia="Arial" w:hAnsi="Arial" w:cs="Arial"/>
          <w:i/>
          <w:color w:val="000000"/>
          <w:sz w:val="20"/>
          <w:lang w:val="sr-Cyrl-RS"/>
        </w:rPr>
        <w:t>)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tabs>
          <w:tab w:val="left" w:pos="1620"/>
        </w:tabs>
        <w:spacing w:before="100" w:after="100" w:line="228" w:lineRule="auto"/>
        <w:ind w:left="1260" w:hanging="7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1A3F6E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before="100" w:after="100" w:line="228" w:lineRule="auto"/>
        <w:ind w:left="1620" w:hanging="43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 w:after="120" w:line="240" w:lineRule="auto"/>
        <w:ind w:left="1620" w:right="2" w:hanging="4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1A3F6E" w:rsidRPr="005E6E8F" w:rsidRDefault="001A3F6E" w:rsidP="001A3F6E">
      <w:pPr>
        <w:widowControl w:val="0"/>
        <w:numPr>
          <w:ilvl w:val="1"/>
          <w:numId w:val="1"/>
        </w:numPr>
        <w:spacing w:after="135" w:line="228" w:lineRule="auto"/>
        <w:ind w:left="1620" w:right="2" w:hanging="4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накнаду стварне штете, а може и да раскине уговор.  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A3F6E" w:rsidRPr="001A3F6E" w:rsidRDefault="001A3F6E" w:rsidP="001A3F6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A3F6E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60" w:line="230" w:lineRule="exact"/>
        <w:ind w:left="1530" w:right="23" w:hanging="34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1A3F6E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left="1530" w:hanging="34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1A3F6E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Pr="001A3F6E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1A3F6E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530" w:right="2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630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left="153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1A3F6E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1A3F6E" w:rsidRPr="001A3F6E" w:rsidRDefault="001A3F6E" w:rsidP="001A3F6E">
      <w:pPr>
        <w:widowControl w:val="0"/>
        <w:numPr>
          <w:ilvl w:val="0"/>
          <w:numId w:val="1"/>
        </w:numPr>
        <w:spacing w:before="160" w:after="120" w:line="230" w:lineRule="atLeast"/>
        <w:ind w:left="567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1A3F6E" w:rsidRPr="001A3F6E" w:rsidRDefault="001A3F6E" w:rsidP="005E6E8F">
      <w:pPr>
        <w:widowControl w:val="0"/>
        <w:numPr>
          <w:ilvl w:val="1"/>
          <w:numId w:val="1"/>
        </w:numPr>
        <w:spacing w:after="135" w:line="228" w:lineRule="auto"/>
        <w:ind w:left="1620" w:right="2" w:hanging="63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1A3F6E" w:rsidRPr="001A3F6E" w:rsidRDefault="005E6E8F" w:rsidP="005E6E8F">
      <w:pPr>
        <w:widowControl w:val="0"/>
        <w:numPr>
          <w:ilvl w:val="1"/>
          <w:numId w:val="1"/>
        </w:numPr>
        <w:spacing w:after="135" w:line="228" w:lineRule="auto"/>
        <w:ind w:right="2" w:hanging="20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</w:rPr>
        <w:t xml:space="preserve">   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="001A3F6E" w:rsidRPr="001A3F6E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="001A3F6E" w:rsidRPr="001A3F6E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before="120" w:after="120" w:line="240" w:lineRule="auto"/>
        <w:ind w:left="601"/>
        <w:jc w:val="both"/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x-none"/>
        </w:rPr>
      </w:pPr>
    </w:p>
    <w:p w:rsidR="001A3F6E" w:rsidRPr="001A3F6E" w:rsidRDefault="001A3F6E" w:rsidP="001A3F6E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1A3F6E" w:rsidRPr="001A3F6E" w:rsidRDefault="001A3F6E" w:rsidP="005E6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  <w:bookmarkStart w:id="0" w:name="_GoBack"/>
      <w:bookmarkEnd w:id="0"/>
    </w:p>
    <w:sectPr w:rsidR="001A3F6E" w:rsidRPr="001A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6E"/>
    <w:rsid w:val="001A3F6E"/>
    <w:rsid w:val="005E6E8F"/>
    <w:rsid w:val="00E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CDA0"/>
  <w15:chartTrackingRefBased/>
  <w15:docId w15:val="{39B20F53-5C34-4A3A-A1B3-6EFE0A2B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2</cp:revision>
  <dcterms:created xsi:type="dcterms:W3CDTF">2021-07-04T21:36:00Z</dcterms:created>
  <dcterms:modified xsi:type="dcterms:W3CDTF">2021-07-05T14:58:00Z</dcterms:modified>
</cp:coreProperties>
</file>