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B069F" w:rsidRPr="005B069F" w:rsidRDefault="005B069F" w:rsidP="005B069F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r w:rsidRPr="005B069F">
        <w:rPr>
          <w:rFonts w:eastAsia="Arial" w:cs="Arial"/>
          <w:b/>
          <w:color w:val="000000"/>
          <w:lang w:val="en-US"/>
        </w:rPr>
        <w:t>BOEHRINGER INGELHEIM SERBIA d.o.o, Београд, ул. Милентија Поповића бр. 5а, кога заступају директори Божана Петровић и Душка Станишић</w:t>
      </w:r>
    </w:p>
    <w:p w:rsidR="005B069F" w:rsidRPr="005B069F" w:rsidRDefault="005B069F" w:rsidP="005B069F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5B069F">
        <w:rPr>
          <w:rFonts w:eastAsia="Arial" w:cs="Arial"/>
          <w:color w:val="000000"/>
          <w:lang w:val="en-US"/>
        </w:rPr>
        <w:t>Матични број: 20579056</w:t>
      </w:r>
    </w:p>
    <w:p w:rsidR="005B069F" w:rsidRPr="005B069F" w:rsidRDefault="005B069F" w:rsidP="005B069F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5B069F">
        <w:rPr>
          <w:rFonts w:eastAsia="Arial" w:cs="Arial"/>
          <w:color w:val="000000"/>
          <w:lang w:val="en-US"/>
        </w:rPr>
        <w:t>ПИБ: 106330871</w:t>
      </w:r>
      <w:bookmarkStart w:id="0" w:name="_GoBack"/>
      <w:bookmarkEnd w:id="0"/>
    </w:p>
    <w:p w:rsidR="005B069F" w:rsidRPr="005B069F" w:rsidRDefault="005B069F" w:rsidP="005B069F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5B069F">
        <w:rPr>
          <w:rFonts w:eastAsia="Arial" w:cs="Arial"/>
          <w:color w:val="000000"/>
          <w:lang w:val="en-US"/>
        </w:rPr>
        <w:t xml:space="preserve">Број рачуна: 265104031000167480 који се води код Raiffeisenbank a.d. Београд </w:t>
      </w:r>
    </w:p>
    <w:p w:rsidR="004D5CC1" w:rsidRPr="00BF7B6D" w:rsidRDefault="004D5CC1" w:rsidP="005B069F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</w:t>
      </w:r>
      <w:r w:rsidR="00365D4E">
        <w:rPr>
          <w:rFonts w:eastAsia="Arial" w:cs="Arial"/>
          <w:color w:val="000000"/>
          <w:szCs w:val="20"/>
        </w:rPr>
        <w:t xml:space="preserve">осигурање закључио </w:t>
      </w:r>
      <w:r w:rsidRPr="00007D39">
        <w:rPr>
          <w:rFonts w:eastAsia="Arial" w:cs="Arial"/>
          <w:color w:val="000000"/>
          <w:szCs w:val="20"/>
          <w:lang w:val="en-US"/>
        </w:rPr>
        <w:t xml:space="preserve">оквирни споразум са добављачем </w:t>
      </w:r>
      <w:bookmarkStart w:id="1" w:name="_Hlk57976302"/>
      <w:r w:rsidR="005B069F" w:rsidRPr="005B069F">
        <w:rPr>
          <w:rFonts w:eastAsia="Batang" w:cs="Arial"/>
          <w:bCs/>
          <w:szCs w:val="20"/>
          <w:lang w:eastAsia="sr-Latn-CS"/>
        </w:rPr>
        <w:t>BOEHRINGER INGELHEIM SERBIA d.o.o</w:t>
      </w:r>
      <w:r w:rsidR="005B069F">
        <w:rPr>
          <w:rFonts w:eastAsia="Batang" w:cs="Arial"/>
          <w:bCs/>
          <w:szCs w:val="20"/>
          <w:lang w:eastAsia="sr-Latn-CS"/>
        </w:rPr>
        <w:t xml:space="preserve"> </w:t>
      </w:r>
      <w:r w:rsidR="00E43230" w:rsidRPr="00007D39">
        <w:rPr>
          <w:rFonts w:eastAsia="Times New Roman"/>
          <w:szCs w:val="20"/>
        </w:rPr>
        <w:t>бр</w:t>
      </w:r>
      <w:bookmarkEnd w:id="1"/>
      <w:r w:rsidR="00E43230" w:rsidRPr="00007D39">
        <w:rPr>
          <w:rFonts w:eastAsia="Arial" w:cs="Arial"/>
          <w:color w:val="000000"/>
          <w:szCs w:val="20"/>
          <w:lang w:val="en-US"/>
        </w:rPr>
        <w:t xml:space="preserve"> </w:t>
      </w:r>
      <w:r w:rsidRPr="00007D39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Arial" w:cs="Arial"/>
          <w:color w:val="000000"/>
          <w:szCs w:val="20"/>
          <w:lang w:val="en-US"/>
        </w:rPr>
        <w:t xml:space="preserve">да </w:t>
      </w:r>
      <w:r w:rsidR="00365D4E">
        <w:rPr>
          <w:rFonts w:eastAsia="Arial" w:cs="Arial"/>
          <w:color w:val="000000"/>
          <w:szCs w:val="20"/>
        </w:rPr>
        <w:t xml:space="preserve">се </w:t>
      </w:r>
      <w:r w:rsidRPr="00007D39">
        <w:rPr>
          <w:rFonts w:eastAsia="Arial" w:cs="Arial"/>
          <w:color w:val="000000"/>
          <w:szCs w:val="20"/>
          <w:lang w:val="en-US"/>
        </w:rPr>
        <w:t>овај у</w:t>
      </w:r>
      <w:r w:rsidR="00365D4E">
        <w:rPr>
          <w:rFonts w:eastAsia="Arial" w:cs="Arial"/>
          <w:color w:val="000000"/>
          <w:szCs w:val="20"/>
          <w:lang w:val="en-US"/>
        </w:rPr>
        <w:t>говор о јавној набавци закључује</w:t>
      </w:r>
      <w:r w:rsidRPr="00007D39">
        <w:rPr>
          <w:rFonts w:eastAsia="Arial" w:cs="Arial"/>
          <w:color w:val="000000"/>
          <w:szCs w:val="20"/>
          <w:lang w:val="en-US"/>
        </w:rPr>
        <w:t xml:space="preserve"> у складу са Оквирним споразумом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B069F">
        <w:rPr>
          <w:rFonts w:eastAsia="Times New Roman" w:cs="Arial"/>
          <w:bCs/>
          <w:color w:val="000000"/>
          <w:szCs w:val="20"/>
        </w:rPr>
        <w:t>2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007D3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07D39">
        <w:rPr>
          <w:rFonts w:eastAsia="Arial" w:cs="Arial"/>
          <w:color w:val="000000"/>
          <w:szCs w:val="20"/>
          <w:lang w:val="en-US"/>
        </w:rPr>
        <w:t>лекова</w:t>
      </w:r>
      <w:r w:rsidRPr="00007D3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007D3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B069F">
        <w:rPr>
          <w:rFonts w:eastAsia="Times New Roman" w:cs="Arial"/>
          <w:bCs/>
          <w:color w:val="000000"/>
          <w:szCs w:val="20"/>
        </w:rPr>
        <w:t>2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007D39">
        <w:rPr>
          <w:rFonts w:eastAsia="Arial" w:cs="Arial"/>
          <w:color w:val="000000"/>
          <w:lang w:val="en-US"/>
        </w:rPr>
        <w:t>од __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године,  </w:t>
      </w:r>
      <w:r w:rsidRPr="00007D3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</w:t>
      </w:r>
      <w:r w:rsidR="009C50B6"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en-US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007D39"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>72</w:t>
      </w:r>
      <w:r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 xml:space="preserve"> </w:t>
      </w:r>
      <w:r w:rsidR="004D5CC1"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>часа</w:t>
      </w:r>
      <w:r w:rsidRPr="005B069F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 xml:space="preserve"> од дана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069F" w:rsidRDefault="005B069F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365D4E" w:rsidRDefault="00365D4E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F6" w:rsidRDefault="002714F6" w:rsidP="00D9125E">
      <w:pPr>
        <w:spacing w:after="0"/>
      </w:pPr>
      <w:r>
        <w:separator/>
      </w:r>
    </w:p>
  </w:endnote>
  <w:endnote w:type="continuationSeparator" w:id="0">
    <w:p w:rsidR="002714F6" w:rsidRDefault="002714F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F6" w:rsidRDefault="002714F6" w:rsidP="00D9125E">
      <w:pPr>
        <w:spacing w:after="0"/>
      </w:pPr>
      <w:r>
        <w:separator/>
      </w:r>
    </w:p>
  </w:footnote>
  <w:footnote w:type="continuationSeparator" w:id="0">
    <w:p w:rsidR="002714F6" w:rsidRDefault="002714F6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105813"/>
    <w:rsid w:val="001121AB"/>
    <w:rsid w:val="0014769E"/>
    <w:rsid w:val="00171B4F"/>
    <w:rsid w:val="001829E9"/>
    <w:rsid w:val="001F4552"/>
    <w:rsid w:val="002041E2"/>
    <w:rsid w:val="00210BA8"/>
    <w:rsid w:val="002714F6"/>
    <w:rsid w:val="002B6CB6"/>
    <w:rsid w:val="00365D4E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B069F"/>
    <w:rsid w:val="005E33D5"/>
    <w:rsid w:val="00665329"/>
    <w:rsid w:val="006B662A"/>
    <w:rsid w:val="00760B34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AF2AB7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40F2"/>
    <w:rsid w:val="00EB4E85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dcterms:created xsi:type="dcterms:W3CDTF">2020-12-06T10:59:00Z</dcterms:created>
  <dcterms:modified xsi:type="dcterms:W3CDTF">2020-12-10T09:08:00Z</dcterms:modified>
</cp:coreProperties>
</file>