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Заједничка понуда, Farmix d.o.o., из Београда, ул. Коче Капетана 36, кога заступа директор Ирена Крстовски, носилац посла у заједничкој понуди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Матични број: 07784848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ПИБ: 100009265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Број рачуна: 205-9064-56 који се води код Комерцијалне банке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Unifarm medicom d.o.o., из Београда, ул Цара Душана 36, кога заступају директори Ивана Крстонијевић и  Зоран Благојевић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Матични број: 17590642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ПИБ: 103621703</w:t>
      </w:r>
    </w:p>
    <w:p w:rsidR="007B1BBA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Број рачуна: 160-304478-91 који се води код Intesa банке</w:t>
      </w:r>
    </w:p>
    <w:p w:rsidR="00222B9C" w:rsidRPr="007B1BBA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7B1BBA">
        <w:rPr>
          <w:b/>
        </w:rPr>
        <w:t>(У даљем тексту: Добављач)</w:t>
      </w:r>
    </w:p>
    <w:p w:rsidR="007B1BBA" w:rsidRPr="00726BBB" w:rsidRDefault="007B1BBA" w:rsidP="007B1BB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10038" w:rsidRDefault="00610038" w:rsidP="0061003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FE0A72" w:rsidRDefault="00FE0A72" w:rsidP="0061003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7B1BBA" w:rsidRDefault="007B1BBA" w:rsidP="0061003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 ЛЕЧЕЊЕ ХЕМОФИЛИЈЕ (ПОНОВЉЕНИ ПОСТУПАК)</w:t>
      </w:r>
    </w:p>
    <w:p w:rsidR="00222B9C" w:rsidRDefault="007B1BBA" w:rsidP="0061003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1 И 2</w:t>
      </w:r>
    </w:p>
    <w:p w:rsidR="00610038" w:rsidRDefault="00610038" w:rsidP="00610038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7B1BBA" w:rsidRPr="008104AF">
        <w:rPr>
          <w:rFonts w:eastAsia="Times New Roman" w:cs="Arial"/>
          <w:szCs w:val="20"/>
          <w:lang w:val="en-US"/>
        </w:rPr>
        <w:t xml:space="preserve">набавке </w:t>
      </w:r>
      <w:r w:rsidR="007B1BBA" w:rsidRPr="008104AF">
        <w:rPr>
          <w:rFonts w:eastAsia="Times New Roman" w:cs="Arial"/>
          <w:szCs w:val="20"/>
          <w:lang w:val="sr-Cyrl-CS"/>
        </w:rPr>
        <w:t>Лекова за лечење хемофилије (поновљени поступак)</w:t>
      </w:r>
      <w:r w:rsidR="007B1BBA" w:rsidRPr="008104AF">
        <w:rPr>
          <w:rFonts w:eastAsia="Times New Roman" w:cs="Arial"/>
          <w:szCs w:val="20"/>
        </w:rPr>
        <w:t xml:space="preserve">, бр. </w:t>
      </w:r>
      <w:r w:rsidR="007B1BBA" w:rsidRPr="008104AF">
        <w:rPr>
          <w:rFonts w:eastAsia="Times New Roman" w:cs="Arial"/>
          <w:szCs w:val="20"/>
          <w:lang w:val="en-US"/>
        </w:rPr>
        <w:t>404-1-110/18-</w:t>
      </w:r>
      <w:r w:rsidR="007B1BBA" w:rsidRPr="008104AF">
        <w:rPr>
          <w:rFonts w:eastAsia="Times New Roman" w:cs="Arial"/>
          <w:szCs w:val="20"/>
        </w:rPr>
        <w:t>61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B1BBA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 xml:space="preserve">добављачима </w:t>
      </w:r>
      <w:r w:rsidR="007B1BBA">
        <w:rPr>
          <w:rFonts w:eastAsia="Times New Roman" w:cs="Arial"/>
          <w:szCs w:val="20"/>
        </w:rPr>
        <w:t xml:space="preserve">заједничку </w:t>
      </w:r>
      <w:r w:rsidR="007B1BBA" w:rsidRPr="007B1BBA">
        <w:rPr>
          <w:rFonts w:eastAsia="Times New Roman" w:cs="Arial"/>
          <w:szCs w:val="20"/>
        </w:rPr>
        <w:t>понуду Farmix d.o.o. и Unifarm medicom d.o.o.</w:t>
      </w:r>
      <w:r w:rsidR="007B1BBA" w:rsidRPr="007B1BBA">
        <w:rPr>
          <w:rFonts w:eastAsia="Times New Roman" w:cs="Arial"/>
          <w:szCs w:val="20"/>
          <w:lang w:val="en-US"/>
        </w:rPr>
        <w:t xml:space="preserve"> на основу Одлуке бр. </w:t>
      </w:r>
      <w:r w:rsidR="007B1BBA" w:rsidRPr="007B1BBA">
        <w:rPr>
          <w:rFonts w:eastAsia="Times New Roman" w:cs="Arial"/>
          <w:szCs w:val="20"/>
        </w:rPr>
        <w:t>404</w:t>
      </w:r>
      <w:r w:rsidR="007B1BBA">
        <w:rPr>
          <w:rFonts w:eastAsia="Times New Roman" w:cs="Arial"/>
          <w:szCs w:val="20"/>
        </w:rPr>
        <w:t>-</w:t>
      </w:r>
      <w:r w:rsidR="007B1BBA" w:rsidRPr="007B1BBA">
        <w:rPr>
          <w:rFonts w:eastAsia="Times New Roman" w:cs="Arial"/>
          <w:szCs w:val="20"/>
        </w:rPr>
        <w:t>1-60/18-17</w:t>
      </w:r>
      <w:r w:rsidR="007B1BBA" w:rsidRPr="007B1BBA">
        <w:rPr>
          <w:rFonts w:eastAsia="Times New Roman" w:cs="Arial"/>
          <w:szCs w:val="20"/>
          <w:lang w:val="en-US"/>
        </w:rPr>
        <w:t xml:space="preserve"> од </w:t>
      </w:r>
      <w:r w:rsidR="007B1BBA" w:rsidRPr="007B1BBA">
        <w:rPr>
          <w:rFonts w:eastAsia="Times New Roman" w:cs="Arial"/>
          <w:szCs w:val="20"/>
        </w:rPr>
        <w:t>08.02.</w:t>
      </w:r>
      <w:r w:rsidR="007B1BBA" w:rsidRPr="007B1BBA">
        <w:rPr>
          <w:rFonts w:eastAsia="Times New Roman" w:cs="Arial"/>
          <w:szCs w:val="20"/>
          <w:lang w:val="en-US"/>
        </w:rPr>
        <w:t>201</w:t>
      </w:r>
      <w:r w:rsidR="007B1BBA" w:rsidRPr="007B1BBA">
        <w:rPr>
          <w:rFonts w:eastAsia="Times New Roman" w:cs="Arial"/>
          <w:szCs w:val="20"/>
        </w:rPr>
        <w:t>9</w:t>
      </w:r>
      <w:r w:rsidR="007B1BBA" w:rsidRPr="007B1BBA">
        <w:rPr>
          <w:rFonts w:eastAsia="Times New Roman" w:cs="Arial"/>
          <w:szCs w:val="20"/>
          <w:lang w:val="en-US"/>
        </w:rPr>
        <w:t>. године</w:t>
      </w:r>
      <w:r w:rsidR="007B1BBA" w:rsidRPr="007B1BBA">
        <w:rPr>
          <w:rFonts w:eastAsia="Times New Roman" w:cs="Arial"/>
          <w:szCs w:val="20"/>
        </w:rPr>
        <w:t xml:space="preserve"> и Исправке одлуке број 404-1-60/18-18 од 12.02.2019.године</w:t>
      </w:r>
      <w:r w:rsidRPr="007B1BBA">
        <w:rPr>
          <w:rFonts w:eastAsia="Times New Roman" w:cs="Arial"/>
          <w:szCs w:val="20"/>
          <w:lang w:val="en-US"/>
        </w:rPr>
        <w:t xml:space="preserve">, </w:t>
      </w:r>
    </w:p>
    <w:p w:rsidR="008104AF" w:rsidRPr="007B1BBA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B1BB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7B1BBA">
        <w:rPr>
          <w:rFonts w:eastAsia="Times New Roman" w:cs="Arial"/>
          <w:szCs w:val="20"/>
        </w:rPr>
        <w:t>11-1/1</w:t>
      </w:r>
      <w:r w:rsidR="00FB677D" w:rsidRPr="007B1BBA">
        <w:rPr>
          <w:rFonts w:eastAsia="Times New Roman" w:cs="Arial"/>
          <w:szCs w:val="20"/>
          <w:lang w:val="en-US"/>
        </w:rPr>
        <w:t>9</w:t>
      </w:r>
      <w:r w:rsidR="00BA3004" w:rsidRPr="007B1BBA">
        <w:rPr>
          <w:rFonts w:eastAsia="Times New Roman" w:cs="Arial"/>
          <w:szCs w:val="20"/>
        </w:rPr>
        <w:t xml:space="preserve"> од 22</w:t>
      </w:r>
      <w:r w:rsidRPr="007B1BBA">
        <w:rPr>
          <w:rFonts w:eastAsia="Times New Roman" w:cs="Arial"/>
          <w:szCs w:val="20"/>
        </w:rPr>
        <w:t>.</w:t>
      </w:r>
      <w:r w:rsidR="00BA3004" w:rsidRPr="007B1BBA">
        <w:rPr>
          <w:rFonts w:eastAsia="Times New Roman" w:cs="Arial"/>
          <w:szCs w:val="20"/>
          <w:lang w:val="en-US"/>
        </w:rPr>
        <w:t>02</w:t>
      </w:r>
      <w:r w:rsidRPr="007B1BBA">
        <w:rPr>
          <w:rFonts w:eastAsia="Times New Roman" w:cs="Arial"/>
          <w:szCs w:val="20"/>
        </w:rPr>
        <w:t>.2019</w:t>
      </w:r>
      <w:r w:rsidR="00826AFE" w:rsidRPr="007B1BBA">
        <w:rPr>
          <w:rFonts w:eastAsia="Times New Roman" w:cs="Arial"/>
          <w:szCs w:val="20"/>
        </w:rPr>
        <w:t>.</w:t>
      </w:r>
      <w:r w:rsidRPr="007B1BBA">
        <w:rPr>
          <w:rFonts w:eastAsia="Times New Roman" w:cs="Arial"/>
          <w:szCs w:val="20"/>
        </w:rPr>
        <w:t xml:space="preserve"> године</w:t>
      </w:r>
      <w:r w:rsidR="00945875" w:rsidRPr="007B1BBA">
        <w:rPr>
          <w:rFonts w:eastAsia="Times New Roman" w:cs="Arial"/>
          <w:szCs w:val="20"/>
        </w:rPr>
        <w:t xml:space="preserve"> и Анексом оквирног споразума бр. </w:t>
      </w:r>
      <w:r w:rsidR="007B1BBA" w:rsidRPr="007B1BBA">
        <w:rPr>
          <w:rFonts w:eastAsia="Times New Roman" w:cs="Arial"/>
          <w:szCs w:val="20"/>
          <w:lang w:val="sr-Latn-RS"/>
        </w:rPr>
        <w:t>11-1/19</w:t>
      </w:r>
      <w:r w:rsidR="00945875" w:rsidRPr="007B1BBA">
        <w:rPr>
          <w:rFonts w:eastAsia="Times New Roman" w:cs="Arial"/>
          <w:szCs w:val="20"/>
        </w:rPr>
        <w:t xml:space="preserve"> од </w:t>
      </w:r>
      <w:r w:rsidR="00553B98">
        <w:rPr>
          <w:rFonts w:eastAsia="Times New Roman" w:cs="Arial"/>
          <w:szCs w:val="20"/>
          <w:lang w:val="sr-Latn-RS"/>
        </w:rPr>
        <w:t>7</w:t>
      </w:r>
      <w:r w:rsidR="007B1BBA" w:rsidRPr="007B1BBA">
        <w:rPr>
          <w:rFonts w:eastAsia="Times New Roman" w:cs="Arial"/>
          <w:szCs w:val="20"/>
          <w:lang w:val="sr-Latn-RS"/>
        </w:rPr>
        <w:t xml:space="preserve">.03.2019. </w:t>
      </w:r>
      <w:r w:rsidR="007B1BBA" w:rsidRPr="007B1BBA">
        <w:rPr>
          <w:rFonts w:eastAsia="Times New Roman" w:cs="Arial"/>
          <w:szCs w:val="20"/>
        </w:rPr>
        <w:t>године</w:t>
      </w:r>
      <w:r w:rsidRPr="007B1BB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7B1BB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B1BBA">
        <w:rPr>
          <w:rFonts w:eastAsia="Times New Roman" w:cs="Arial"/>
          <w:szCs w:val="20"/>
          <w:lang w:val="en-US"/>
        </w:rPr>
        <w:t xml:space="preserve">бр. </w:t>
      </w:r>
      <w:r w:rsidR="00FB677D" w:rsidRPr="007B1BBA">
        <w:rPr>
          <w:rFonts w:eastAsia="Times New Roman" w:cs="Arial"/>
          <w:szCs w:val="20"/>
        </w:rPr>
        <w:t>11-1/19</w:t>
      </w:r>
      <w:r w:rsidR="00BA3004" w:rsidRPr="007B1BBA">
        <w:rPr>
          <w:rFonts w:eastAsia="Times New Roman" w:cs="Arial"/>
          <w:szCs w:val="20"/>
          <w:lang w:val="en-US"/>
        </w:rPr>
        <w:t xml:space="preserve"> од 22</w:t>
      </w:r>
      <w:r w:rsidRPr="007B1BBA">
        <w:rPr>
          <w:rFonts w:eastAsia="Times New Roman" w:cs="Arial"/>
          <w:szCs w:val="20"/>
          <w:lang w:val="en-US"/>
        </w:rPr>
        <w:t>.</w:t>
      </w:r>
      <w:r w:rsidR="00BA3004" w:rsidRPr="007B1BBA">
        <w:rPr>
          <w:rFonts w:eastAsia="Times New Roman" w:cs="Arial"/>
          <w:szCs w:val="20"/>
          <w:lang w:val="en-US"/>
        </w:rPr>
        <w:t>02</w:t>
      </w:r>
      <w:r w:rsidRPr="007B1BBA">
        <w:rPr>
          <w:rFonts w:eastAsia="Times New Roman" w:cs="Arial"/>
          <w:szCs w:val="20"/>
          <w:lang w:val="en-US"/>
        </w:rPr>
        <w:t>.201</w:t>
      </w:r>
      <w:r w:rsidRPr="007B1BBA">
        <w:rPr>
          <w:rFonts w:eastAsia="Times New Roman" w:cs="Arial"/>
          <w:szCs w:val="20"/>
        </w:rPr>
        <w:t>9</w:t>
      </w:r>
      <w:r w:rsidRPr="007B1BBA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26AFE" w:rsidRPr="00624BF5">
        <w:rPr>
          <w:rFonts w:eastAsia="Times New Roman" w:cs="Arial"/>
          <w:bCs/>
          <w:szCs w:val="20"/>
          <w:lang w:val="sr-Cyrl-CS"/>
        </w:rPr>
        <w:t>23</w:t>
      </w:r>
      <w:r w:rsidR="00826AFE" w:rsidRPr="00624BF5">
        <w:rPr>
          <w:rFonts w:eastAsia="Times New Roman" w:cs="Arial"/>
          <w:bCs/>
          <w:szCs w:val="20"/>
        </w:rPr>
        <w:t xml:space="preserve"> </w:t>
      </w:r>
      <w:r w:rsidR="00826AFE" w:rsidRPr="00624BF5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624BF5" w:rsidRDefault="00D87E0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Latn-RS"/>
              </w:rPr>
              <w:t>Farmix d.o.o.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24BF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24BF5" w:rsidRPr="00624BF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624BF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624BF5" w:rsidRPr="00624BF5" w:rsidTr="007F1995">
        <w:tc>
          <w:tcPr>
            <w:tcW w:w="5387" w:type="dxa"/>
            <w:vAlign w:val="center"/>
          </w:tcPr>
          <w:p w:rsidR="00D87E03" w:rsidRPr="00624BF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624BF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24BF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24BF5">
              <w:rPr>
                <w:b/>
              </w:rPr>
              <w:t>Ирена Крстовски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C8" w:rsidRDefault="00AD71C8" w:rsidP="001C32E4">
      <w:pPr>
        <w:spacing w:after="0"/>
      </w:pPr>
      <w:r>
        <w:separator/>
      </w:r>
    </w:p>
  </w:endnote>
  <w:endnote w:type="continuationSeparator" w:id="0">
    <w:p w:rsidR="00AD71C8" w:rsidRDefault="00AD71C8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C8" w:rsidRDefault="00AD71C8" w:rsidP="001C32E4">
      <w:pPr>
        <w:spacing w:after="0"/>
      </w:pPr>
      <w:r>
        <w:separator/>
      </w:r>
    </w:p>
  </w:footnote>
  <w:footnote w:type="continuationSeparator" w:id="0">
    <w:p w:rsidR="00AD71C8" w:rsidRDefault="00AD71C8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D31A6"/>
    <w:rsid w:val="00302980"/>
    <w:rsid w:val="003715FF"/>
    <w:rsid w:val="003E3BF1"/>
    <w:rsid w:val="003E4D85"/>
    <w:rsid w:val="003E6510"/>
    <w:rsid w:val="00482647"/>
    <w:rsid w:val="004A04C9"/>
    <w:rsid w:val="00553B98"/>
    <w:rsid w:val="00557529"/>
    <w:rsid w:val="005F65B4"/>
    <w:rsid w:val="00610038"/>
    <w:rsid w:val="00612EEB"/>
    <w:rsid w:val="00624BF5"/>
    <w:rsid w:val="00670662"/>
    <w:rsid w:val="00694F65"/>
    <w:rsid w:val="006C3209"/>
    <w:rsid w:val="007008B3"/>
    <w:rsid w:val="00713EF7"/>
    <w:rsid w:val="00793E0E"/>
    <w:rsid w:val="007B1BBA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D71C8"/>
    <w:rsid w:val="00B15479"/>
    <w:rsid w:val="00B166A3"/>
    <w:rsid w:val="00B6216F"/>
    <w:rsid w:val="00B71A4F"/>
    <w:rsid w:val="00B8252A"/>
    <w:rsid w:val="00BA3004"/>
    <w:rsid w:val="00C3565A"/>
    <w:rsid w:val="00CA47F9"/>
    <w:rsid w:val="00CB10BC"/>
    <w:rsid w:val="00CB3FFF"/>
    <w:rsid w:val="00CD2253"/>
    <w:rsid w:val="00CE3B2D"/>
    <w:rsid w:val="00D7616A"/>
    <w:rsid w:val="00D87E03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32</cp:revision>
  <cp:lastPrinted>2019-02-21T13:36:00Z</cp:lastPrinted>
  <dcterms:created xsi:type="dcterms:W3CDTF">2019-03-01T14:37:00Z</dcterms:created>
  <dcterms:modified xsi:type="dcterms:W3CDTF">2019-07-10T06:38:00Z</dcterms:modified>
</cp:coreProperties>
</file>