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02EED" w:rsidRPr="00E3658D" w:rsidRDefault="00202EED" w:rsidP="00202EED">
      <w:pPr>
        <w:widowControl w:val="0"/>
        <w:tabs>
          <w:tab w:val="left" w:pos="720"/>
          <w:tab w:val="left" w:pos="990"/>
        </w:tabs>
        <w:spacing w:after="0"/>
        <w:ind w:left="540" w:hanging="450"/>
        <w:rPr>
          <w:szCs w:val="20"/>
        </w:rPr>
      </w:pPr>
      <w:r>
        <w:rPr>
          <w:b/>
          <w:lang w:val="en-US"/>
        </w:rPr>
        <w:t xml:space="preserve">        </w:t>
      </w:r>
      <w:r w:rsidRPr="00E3658D">
        <w:rPr>
          <w:b/>
        </w:rPr>
        <w:t xml:space="preserve">ADOC d.o.o., ул. Милорада Јовановића бр. 11, из Београда, кога заступа директор </w:t>
      </w:r>
      <w:r>
        <w:rPr>
          <w:b/>
        </w:rPr>
        <w:t xml:space="preserve">  </w:t>
      </w:r>
      <w:r>
        <w:rPr>
          <w:b/>
          <w:lang w:val="en-US"/>
        </w:rPr>
        <w:t xml:space="preserve">   </w:t>
      </w:r>
      <w:r w:rsidRPr="00E3658D">
        <w:rPr>
          <w:b/>
        </w:rPr>
        <w:t>Миодраг Митић</w:t>
      </w:r>
    </w:p>
    <w:p w:rsidR="00202EED" w:rsidRPr="00E3658D" w:rsidRDefault="00202EED" w:rsidP="00202EED">
      <w:pPr>
        <w:widowControl w:val="0"/>
        <w:tabs>
          <w:tab w:val="left" w:pos="810"/>
        </w:tabs>
        <w:spacing w:after="0"/>
        <w:rPr>
          <w:szCs w:val="20"/>
        </w:rPr>
      </w:pPr>
      <w:r>
        <w:rPr>
          <w:szCs w:val="20"/>
        </w:rPr>
        <w:t xml:space="preserve">    </w:t>
      </w:r>
      <w:r w:rsidRPr="00E3658D">
        <w:rPr>
          <w:szCs w:val="20"/>
        </w:rPr>
        <w:t xml:space="preserve"> 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    </w:t>
      </w:r>
      <w:r w:rsidRPr="00E3658D">
        <w:rPr>
          <w:szCs w:val="20"/>
        </w:rPr>
        <w:t xml:space="preserve">Матични број: </w:t>
      </w:r>
      <w:r w:rsidRPr="00E3658D">
        <w:t>07530196</w:t>
      </w:r>
    </w:p>
    <w:p w:rsidR="00202EED" w:rsidRPr="00E3658D" w:rsidRDefault="00202EED" w:rsidP="00202EED">
      <w:pPr>
        <w:widowControl w:val="0"/>
        <w:tabs>
          <w:tab w:val="left" w:pos="810"/>
        </w:tabs>
        <w:spacing w:after="0"/>
        <w:ind w:left="450" w:firstLine="90"/>
        <w:rPr>
          <w:szCs w:val="20"/>
        </w:rPr>
      </w:pPr>
      <w:r w:rsidRPr="00E3658D">
        <w:rPr>
          <w:szCs w:val="20"/>
        </w:rPr>
        <w:t xml:space="preserve">ПИБ: </w:t>
      </w:r>
      <w:r w:rsidRPr="00E3658D">
        <w:t>100042265</w:t>
      </w:r>
    </w:p>
    <w:p w:rsidR="00202EED" w:rsidRPr="00E3658D" w:rsidRDefault="00202EED" w:rsidP="00202EED">
      <w:pPr>
        <w:widowControl w:val="0"/>
        <w:tabs>
          <w:tab w:val="left" w:pos="810"/>
        </w:tabs>
        <w:spacing w:after="0"/>
        <w:ind w:firstLine="540"/>
        <w:rPr>
          <w:szCs w:val="20"/>
        </w:rPr>
      </w:pPr>
      <w:r w:rsidRPr="00E3658D">
        <w:rPr>
          <w:szCs w:val="20"/>
        </w:rPr>
        <w:t>Број рачуна: 205-1633-39 који се води код Комерцијалне банке АД Београд</w:t>
      </w:r>
    </w:p>
    <w:p w:rsidR="00202EED" w:rsidRPr="00F63976" w:rsidRDefault="00202EED" w:rsidP="00202EED">
      <w:pPr>
        <w:widowControl w:val="0"/>
        <w:spacing w:after="0"/>
        <w:ind w:firstLine="540"/>
      </w:pPr>
      <w:r w:rsidRPr="00F63976"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22079" w:rsidRDefault="00922079" w:rsidP="0092207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_____________</w:t>
      </w:r>
    </w:p>
    <w:p w:rsidR="00222B9C" w:rsidRDefault="00FE0A72" w:rsidP="0092207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92207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D2496E" w:rsidRPr="00D2496E" w:rsidRDefault="00222B9C" w:rsidP="00922079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5C7644" w:rsidRPr="009523F9" w:rsidRDefault="00D2496E" w:rsidP="00922079">
      <w:pPr>
        <w:widowControl w:val="0"/>
        <w:spacing w:after="60" w:line="230" w:lineRule="exact"/>
        <w:ind w:left="180"/>
        <w:jc w:val="center"/>
        <w:rPr>
          <w:rFonts w:eastAsia="Batang"/>
          <w:b/>
          <w:bCs/>
          <w:szCs w:val="20"/>
          <w:lang w:val="sr-Cyrl-CS" w:eastAsia="sr-Latn-CS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5C7644" w:rsidRPr="00343A27">
        <w:rPr>
          <w:rFonts w:eastAsia="Times New Roman"/>
          <w:b/>
          <w:bCs/>
          <w:szCs w:val="20"/>
        </w:rPr>
        <w:t>26, 27, 115, 116, 132, 145, 147, 148, 149, 150, 156, 195, 202, 214, 245</w:t>
      </w:r>
      <w:r w:rsidR="005C7644">
        <w:rPr>
          <w:rFonts w:eastAsia="Times New Roman"/>
          <w:b/>
          <w:bCs/>
          <w:szCs w:val="20"/>
        </w:rPr>
        <w:t xml:space="preserve">, </w:t>
      </w:r>
      <w:r w:rsidR="005C7644" w:rsidRPr="00343A27">
        <w:rPr>
          <w:rFonts w:eastAsia="Times New Roman"/>
          <w:b/>
          <w:bCs/>
          <w:szCs w:val="20"/>
        </w:rPr>
        <w:t xml:space="preserve">250, 282, 283, 284, 285, 303, 304, 308, 309, 362, 363, 406, 407, 467, 468, 495, 517, 550, 551, 558, 561, 632, 641, 659, 660, 661, 761, 793, 844, 904, 924, 925, 926, 927, 928, 929, 959, 1022, 1023, 1024, 1150, 1151, 1152, 1167, 1168, 1198, </w:t>
      </w:r>
      <w:r w:rsidR="005C7644">
        <w:rPr>
          <w:rFonts w:eastAsia="Times New Roman"/>
          <w:b/>
          <w:bCs/>
          <w:szCs w:val="20"/>
        </w:rPr>
        <w:t xml:space="preserve">1290, 1291 </w:t>
      </w:r>
      <w:r w:rsidR="005C7644" w:rsidRPr="00343A27">
        <w:rPr>
          <w:rFonts w:eastAsia="Times New Roman"/>
          <w:b/>
          <w:bCs/>
          <w:szCs w:val="20"/>
        </w:rPr>
        <w:t>и 13</w:t>
      </w:r>
      <w:r w:rsidR="005C7644">
        <w:rPr>
          <w:rFonts w:eastAsia="Times New Roman"/>
          <w:b/>
          <w:bCs/>
          <w:szCs w:val="20"/>
        </w:rPr>
        <w:t>27</w:t>
      </w:r>
    </w:p>
    <w:p w:rsidR="00922079" w:rsidRDefault="00922079" w:rsidP="00922079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</w:t>
      </w:r>
      <w:bookmarkStart w:id="0" w:name="_GoBack"/>
      <w:bookmarkEnd w:id="0"/>
      <w:r>
        <w:rPr>
          <w:rFonts w:eastAsia="Batang"/>
          <w:b/>
          <w:bCs/>
          <w:szCs w:val="20"/>
          <w:lang w:eastAsia="sr-Latn-CS"/>
        </w:rPr>
        <w:t>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5C7644" w:rsidRDefault="00D2496E" w:rsidP="005C7644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закључили оквирни споразум са </w:t>
      </w:r>
      <w:r w:rsidRPr="005C7644">
        <w:t xml:space="preserve">добављачем Adoc d.o.o на основу </w:t>
      </w:r>
      <w:r w:rsidRPr="008E73D9">
        <w:t xml:space="preserve">Одлуке бр. </w:t>
      </w:r>
      <w:r>
        <w:t>404-1-51/18-45 од 18.1.2019</w:t>
      </w:r>
      <w:r w:rsidRPr="008E73D9">
        <w:t xml:space="preserve">. године,  </w:t>
      </w:r>
      <w:r w:rsidRPr="005C7644">
        <w:t xml:space="preserve">за партије </w:t>
      </w:r>
      <w:r w:rsidR="005C7644" w:rsidRPr="005C7644">
        <w:t>26, 27, 115, 116, 132, 145, 147, 148, 149, 150, 156, 195, 202, 214, 245, 250, 282, 283, 284, 285, 303, 304, 308, 309, 362, 363, 406, 407, 467, 468, 495, 517, 550, 551, 558, 561, 632, 641, 659, 660, 661, 761, 793, 844, 904, 924, 925, 926, 927, 928, 929, 959, 1022, 1023, 1024, 1150, 1151, 1152, 1167, 1168, 1198, 1290, 1291 и 1327</w:t>
      </w:r>
      <w:r w:rsidRPr="005C7644">
        <w:t>.</w:t>
      </w:r>
    </w:p>
    <w:p w:rsidR="005C7644" w:rsidRPr="00F63241" w:rsidRDefault="00D2496E" w:rsidP="005C7644">
      <w:pPr>
        <w:widowControl w:val="0"/>
        <w:numPr>
          <w:ilvl w:val="2"/>
          <w:numId w:val="14"/>
        </w:numPr>
        <w:spacing w:before="120"/>
        <w:ind w:left="1701" w:hanging="567"/>
      </w:pPr>
      <w:r w:rsidRPr="008E73D9">
        <w:t xml:space="preserve">да овај уговор о јавној набавци закључују у складу са оквирним </w:t>
      </w:r>
      <w:r w:rsidRPr="00F63241">
        <w:t xml:space="preserve">споразумом бр. 3-1/19 од 30.1.2019. године и Анексом оквирног споразума број </w:t>
      </w:r>
      <w:r w:rsidR="005C7644" w:rsidRPr="00F63241">
        <w:rPr>
          <w:lang w:val="en-US"/>
        </w:rPr>
        <w:t xml:space="preserve"> </w:t>
      </w:r>
      <w:r w:rsidR="00F63241" w:rsidRPr="00F63241">
        <w:rPr>
          <w:lang w:val="en-US"/>
        </w:rPr>
        <w:t>3</w:t>
      </w:r>
      <w:r w:rsidR="005C7644" w:rsidRPr="00F63241">
        <w:rPr>
          <w:lang w:val="en-US"/>
        </w:rPr>
        <w:t xml:space="preserve"> </w:t>
      </w:r>
      <w:r w:rsidRPr="00F63241">
        <w:t xml:space="preserve">-1/19 од </w:t>
      </w:r>
      <w:r w:rsidR="00F63241" w:rsidRPr="00F63241">
        <w:rPr>
          <w:lang w:val="en-US"/>
        </w:rPr>
        <w:t>29</w:t>
      </w:r>
      <w:r w:rsidRPr="00F63241">
        <w:t>.</w:t>
      </w:r>
      <w:r w:rsidR="005C7644" w:rsidRPr="00F63241">
        <w:rPr>
          <w:lang w:val="en-US"/>
        </w:rPr>
        <w:t>3</w:t>
      </w:r>
      <w:r w:rsidRPr="00F63241">
        <w:t>.2019. године</w:t>
      </w:r>
      <w:r w:rsidR="005C7644" w:rsidRPr="00F63241">
        <w:rPr>
          <w:lang w:val="en-US"/>
        </w:rPr>
        <w:t>.</w:t>
      </w:r>
    </w:p>
    <w:p w:rsidR="008104AF" w:rsidRPr="005C7644" w:rsidRDefault="008104AF" w:rsidP="005C7644">
      <w:pPr>
        <w:pStyle w:val="ListParagraph"/>
        <w:widowControl w:val="0"/>
        <w:numPr>
          <w:ilvl w:val="1"/>
          <w:numId w:val="14"/>
        </w:numPr>
        <w:spacing w:before="120"/>
        <w:ind w:left="720" w:hanging="450"/>
        <w:rPr>
          <w:color w:val="FF0000"/>
        </w:rPr>
      </w:pPr>
      <w:r w:rsidRPr="005C764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</w:t>
      </w:r>
      <w:r w:rsidR="00D2496E">
        <w:rPr>
          <w:rFonts w:eastAsia="Times New Roman" w:cs="Arial"/>
          <w:szCs w:val="20"/>
        </w:rPr>
        <w:lastRenderedPageBreak/>
        <w:t xml:space="preserve">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5C7644">
        <w:rPr>
          <w:rFonts w:eastAsia="Times New Roman" w:cs="Arial"/>
          <w:szCs w:val="20"/>
          <w:lang w:val="en-US"/>
        </w:rPr>
        <w:t xml:space="preserve">споразума бр. </w:t>
      </w:r>
      <w:r w:rsidR="005C7644" w:rsidRPr="005C7644">
        <w:t>3-1/19 од 30.1.2019</w:t>
      </w:r>
      <w:r w:rsidR="005C7644">
        <w:t xml:space="preserve">. </w:t>
      </w:r>
      <w:r w:rsidR="005C7644" w:rsidRPr="005C7644">
        <w:t>године</w:t>
      </w:r>
      <w:r w:rsidRPr="005C7644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6776A">
        <w:rPr>
          <w:rFonts w:eastAsia="Times New Roman"/>
          <w:bCs/>
          <w:szCs w:val="20"/>
          <w:lang w:val="sr-Cyrl-BA" w:eastAsia="sr-Cyrl-BA"/>
        </w:rPr>
        <w:t>72</w:t>
      </w:r>
      <w:r w:rsidR="00D6776A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D6776A">
        <w:rPr>
          <w:rFonts w:eastAsia="Times New Roman"/>
          <w:bCs/>
          <w:szCs w:val="20"/>
          <w:lang w:val="sr-Cyrl-BA" w:eastAsia="sr-Cyrl-BA"/>
        </w:rPr>
        <w:t>Kупца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>/Крајњег корисника Фонда за СОВО/Специјалн</w:t>
      </w:r>
      <w:r w:rsidR="00D6776A">
        <w:rPr>
          <w:rFonts w:eastAsia="Times New Roman"/>
          <w:bCs/>
          <w:szCs w:val="20"/>
          <w:lang w:val="sr-Cyrl-BA" w:eastAsia="sr-Cyrl-BA"/>
        </w:rPr>
        <w:t>е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 xml:space="preserve"> затворск</w:t>
      </w:r>
      <w:r w:rsidR="00D6776A">
        <w:rPr>
          <w:rFonts w:eastAsia="Times New Roman"/>
          <w:bCs/>
          <w:szCs w:val="20"/>
          <w:lang w:val="sr-Cyrl-BA" w:eastAsia="sr-Cyrl-BA"/>
        </w:rPr>
        <w:t>е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 xml:space="preserve"> болниц</w:t>
      </w:r>
      <w:r w:rsidR="00D6776A">
        <w:rPr>
          <w:rFonts w:eastAsia="Times New Roman"/>
          <w:bCs/>
          <w:szCs w:val="20"/>
          <w:lang w:val="sr-Cyrl-BA" w:eastAsia="sr-Cyrl-BA"/>
        </w:rPr>
        <w:t>е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>, Казнено поправни</w:t>
      </w:r>
      <w:r w:rsidR="00D6776A">
        <w:rPr>
          <w:rFonts w:eastAsia="Times New Roman"/>
          <w:bCs/>
          <w:szCs w:val="20"/>
          <w:lang w:val="sr-Cyrl-BA" w:eastAsia="sr-Cyrl-BA"/>
        </w:rPr>
        <w:t>х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 xml:space="preserve"> завод</w:t>
      </w:r>
      <w:r w:rsidR="00D6776A">
        <w:rPr>
          <w:rFonts w:eastAsia="Times New Roman"/>
          <w:bCs/>
          <w:szCs w:val="20"/>
          <w:lang w:val="sr-Cyrl-BA" w:eastAsia="sr-Cyrl-BA"/>
        </w:rPr>
        <w:t>а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 xml:space="preserve"> и Окружни</w:t>
      </w:r>
      <w:r w:rsidR="00D6776A">
        <w:rPr>
          <w:rFonts w:eastAsia="Times New Roman"/>
          <w:bCs/>
          <w:szCs w:val="20"/>
          <w:lang w:val="sr-Cyrl-BA" w:eastAsia="sr-Cyrl-BA"/>
        </w:rPr>
        <w:t>х</w:t>
      </w:r>
      <w:r w:rsidR="00D6776A" w:rsidRPr="00516998">
        <w:rPr>
          <w:rFonts w:eastAsia="Times New Roman"/>
          <w:bCs/>
          <w:szCs w:val="20"/>
          <w:lang w:val="sr-Cyrl-BA" w:eastAsia="sr-Cyrl-BA"/>
        </w:rPr>
        <w:t xml:space="preserve"> затвор</w:t>
      </w:r>
      <w:r w:rsidR="00D6776A">
        <w:rPr>
          <w:rFonts w:eastAsia="Times New Roman"/>
          <w:bCs/>
          <w:szCs w:val="20"/>
          <w:lang w:val="sr-Cyrl-BA" w:eastAsia="sr-Cyrl-BA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D6776A" w:rsidRPr="008104AF" w:rsidRDefault="00D6776A" w:rsidP="00D6776A">
      <w:pPr>
        <w:widowControl w:val="0"/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632D54" w:rsidRPr="001425A9" w:rsidRDefault="00632D54" w:rsidP="00632D54">
      <w:pPr>
        <w:spacing w:after="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632D54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32D54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32D54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6776A" w:rsidRPr="001425A9" w:rsidTr="007F1995">
        <w:tc>
          <w:tcPr>
            <w:tcW w:w="5387" w:type="dxa"/>
            <w:vAlign w:val="center"/>
          </w:tcPr>
          <w:p w:rsidR="00D6776A" w:rsidRPr="001425A9" w:rsidRDefault="00D6776A" w:rsidP="00D67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D6776A" w:rsidRPr="002E73DA" w:rsidRDefault="00D6776A" w:rsidP="00D6776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E73DA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2E73DA">
              <w:rPr>
                <w:b/>
                <w:bCs/>
                <w:sz w:val="20"/>
                <w:szCs w:val="20"/>
                <w:lang w:val="en-GB"/>
              </w:rPr>
              <w:t>Adoc</w:t>
            </w:r>
            <w:r w:rsidRPr="002E73DA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2E73DA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2E73DA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2E73DA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2E73DA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2E73DA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2E73DA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D6776A" w:rsidRPr="001425A9" w:rsidTr="007F1995">
        <w:tc>
          <w:tcPr>
            <w:tcW w:w="5387" w:type="dxa"/>
            <w:vAlign w:val="center"/>
          </w:tcPr>
          <w:p w:rsidR="00D6776A" w:rsidRPr="001425A9" w:rsidRDefault="00D6776A" w:rsidP="00D67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6776A" w:rsidRPr="002E73DA" w:rsidRDefault="00D6776A" w:rsidP="00D6776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E73DA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D6776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6776A" w:rsidRPr="001425A9" w:rsidRDefault="00D6776A" w:rsidP="00D67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6776A" w:rsidRPr="002E73DA" w:rsidRDefault="00D6776A" w:rsidP="00D6776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D6776A" w:rsidRPr="001425A9" w:rsidTr="007F1995">
        <w:tc>
          <w:tcPr>
            <w:tcW w:w="5387" w:type="dxa"/>
            <w:vAlign w:val="center"/>
          </w:tcPr>
          <w:p w:rsidR="00D6776A" w:rsidRPr="001425A9" w:rsidRDefault="00D6776A" w:rsidP="00D6776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6776A" w:rsidRPr="001425A9" w:rsidRDefault="00D6776A" w:rsidP="00D67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6776A" w:rsidRPr="00D6776A" w:rsidRDefault="00D6776A" w:rsidP="00D6776A">
            <w:pPr>
              <w:pStyle w:val="Default"/>
              <w:jc w:val="center"/>
              <w:rPr>
                <w:sz w:val="20"/>
                <w:szCs w:val="20"/>
              </w:rPr>
            </w:pPr>
            <w:r w:rsidRPr="00D6776A">
              <w:rPr>
                <w:sz w:val="20"/>
                <w:szCs w:val="20"/>
              </w:rPr>
              <w:t>Миодраг Митић</w:t>
            </w:r>
          </w:p>
          <w:p w:rsidR="00D6776A" w:rsidRPr="002E73DA" w:rsidRDefault="00D6776A" w:rsidP="00D6776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425A9" w:rsidRDefault="001425A9" w:rsidP="00670662"/>
    <w:sectPr w:rsidR="001425A9" w:rsidSect="00632D54">
      <w:pgSz w:w="12240" w:h="15840"/>
      <w:pgMar w:top="11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19" w:rsidRDefault="00796019" w:rsidP="001C32E4">
      <w:pPr>
        <w:spacing w:after="0"/>
      </w:pPr>
      <w:r>
        <w:separator/>
      </w:r>
    </w:p>
  </w:endnote>
  <w:endnote w:type="continuationSeparator" w:id="0">
    <w:p w:rsidR="00796019" w:rsidRDefault="0079601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19" w:rsidRDefault="00796019" w:rsidP="001C32E4">
      <w:pPr>
        <w:spacing w:after="0"/>
      </w:pPr>
      <w:r>
        <w:separator/>
      </w:r>
    </w:p>
  </w:footnote>
  <w:footnote w:type="continuationSeparator" w:id="0">
    <w:p w:rsidR="00796019" w:rsidRDefault="0079601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36BF6"/>
    <w:rsid w:val="001425A9"/>
    <w:rsid w:val="00186061"/>
    <w:rsid w:val="001C32E4"/>
    <w:rsid w:val="001D7DDD"/>
    <w:rsid w:val="001E4949"/>
    <w:rsid w:val="00202EED"/>
    <w:rsid w:val="00222B9C"/>
    <w:rsid w:val="002317E1"/>
    <w:rsid w:val="002D31A6"/>
    <w:rsid w:val="00302980"/>
    <w:rsid w:val="003715FF"/>
    <w:rsid w:val="003E3BF1"/>
    <w:rsid w:val="003E4D85"/>
    <w:rsid w:val="003E6510"/>
    <w:rsid w:val="00430394"/>
    <w:rsid w:val="00466139"/>
    <w:rsid w:val="00482647"/>
    <w:rsid w:val="004A04C9"/>
    <w:rsid w:val="00557529"/>
    <w:rsid w:val="005C7644"/>
    <w:rsid w:val="005F65B4"/>
    <w:rsid w:val="0060504E"/>
    <w:rsid w:val="00612EEB"/>
    <w:rsid w:val="00632D54"/>
    <w:rsid w:val="00670662"/>
    <w:rsid w:val="00694F65"/>
    <w:rsid w:val="006C3209"/>
    <w:rsid w:val="007008B3"/>
    <w:rsid w:val="00713EF7"/>
    <w:rsid w:val="00776E5F"/>
    <w:rsid w:val="00793E0E"/>
    <w:rsid w:val="00796019"/>
    <w:rsid w:val="0080150C"/>
    <w:rsid w:val="008104AF"/>
    <w:rsid w:val="00821984"/>
    <w:rsid w:val="00826AFE"/>
    <w:rsid w:val="008A2362"/>
    <w:rsid w:val="008D375D"/>
    <w:rsid w:val="008F5803"/>
    <w:rsid w:val="008F618A"/>
    <w:rsid w:val="009168DE"/>
    <w:rsid w:val="00922079"/>
    <w:rsid w:val="00932F1E"/>
    <w:rsid w:val="00945875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D07253"/>
    <w:rsid w:val="00D2496E"/>
    <w:rsid w:val="00D6776A"/>
    <w:rsid w:val="00D7616A"/>
    <w:rsid w:val="00D87E03"/>
    <w:rsid w:val="00E613A4"/>
    <w:rsid w:val="00ED61B6"/>
    <w:rsid w:val="00F0592E"/>
    <w:rsid w:val="00F44734"/>
    <w:rsid w:val="00F63241"/>
    <w:rsid w:val="00F95F5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  <w:style w:type="paragraph" w:customStyle="1" w:styleId="Default">
    <w:name w:val="Default"/>
    <w:rsid w:val="00D67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8</cp:revision>
  <cp:lastPrinted>2019-02-21T13:36:00Z</cp:lastPrinted>
  <dcterms:created xsi:type="dcterms:W3CDTF">2019-03-25T10:02:00Z</dcterms:created>
  <dcterms:modified xsi:type="dcterms:W3CDTF">2019-07-10T06:43:00Z</dcterms:modified>
</cp:coreProperties>
</file>