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6C41AE" w:rsidRPr="006C41AE" w:rsidTr="0058328C">
        <w:tc>
          <w:tcPr>
            <w:tcW w:w="9622" w:type="dxa"/>
          </w:tcPr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41AE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6C41AE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41AE" w:rsidRPr="006C41AE" w:rsidTr="0058328C">
        <w:tc>
          <w:tcPr>
            <w:tcW w:w="9622" w:type="dxa"/>
          </w:tcPr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41AE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</w:t>
            </w:r>
            <w:r w:rsidRPr="006C41AE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6C41AE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6C41AE" w:rsidRPr="006C41AE" w:rsidTr="0058328C">
        <w:tc>
          <w:tcPr>
            <w:tcW w:w="9622" w:type="dxa"/>
          </w:tcPr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6C41AE" w:rsidRPr="006C41AE" w:rsidTr="0058328C">
        <w:tc>
          <w:tcPr>
            <w:tcW w:w="9622" w:type="dxa"/>
          </w:tcPr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6C41AE" w:rsidRPr="006C41AE" w:rsidTr="0058328C">
        <w:tc>
          <w:tcPr>
            <w:tcW w:w="9622" w:type="dxa"/>
          </w:tcPr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6C41AE" w:rsidRPr="006C41AE" w:rsidRDefault="006C41AE" w:rsidP="006C41AE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6C41AE" w:rsidRPr="006C41AE" w:rsidTr="006C41AE">
        <w:tc>
          <w:tcPr>
            <w:tcW w:w="9360" w:type="dxa"/>
          </w:tcPr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41AE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6C41AE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41AE" w:rsidRPr="006C41AE" w:rsidTr="006C41AE">
        <w:tc>
          <w:tcPr>
            <w:tcW w:w="9360" w:type="dxa"/>
          </w:tcPr>
          <w:p w:rsidR="006C41AE" w:rsidRPr="006B340C" w:rsidRDefault="006C41AE" w:rsidP="006C41AE">
            <w:pPr>
              <w:spacing w:after="0" w:line="240" w:lineRule="auto"/>
              <w:ind w:left="357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B340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Јавно предузеће „ЕПС Београд“,</w:t>
            </w:r>
            <w:r w:rsidRPr="006B340C">
              <w:rPr>
                <w:rFonts w:ascii="Arial" w:eastAsia="Batang" w:hAnsi="Arial" w:cs="Arial"/>
                <w:b/>
                <w:bCs/>
                <w:sz w:val="20"/>
                <w:szCs w:val="20"/>
                <w:lang w:val="sr-Cyrl-CS" w:eastAsia="sr-Latn-CS"/>
              </w:rPr>
              <w:t xml:space="preserve"> </w:t>
            </w:r>
            <w:r w:rsidRPr="006B340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r-Cyrl-CS"/>
              </w:rPr>
              <w:t>ул. Балканска бр.13, Београд, које заступа извршни директор Горан Кнежевић</w:t>
            </w:r>
            <w:r w:rsidRPr="006B340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C41AE" w:rsidRPr="006C41AE" w:rsidTr="006C41AE">
        <w:tc>
          <w:tcPr>
            <w:tcW w:w="9360" w:type="dxa"/>
          </w:tcPr>
          <w:p w:rsidR="006C41AE" w:rsidRPr="003824A2" w:rsidRDefault="006C41AE" w:rsidP="006C41AE">
            <w:pPr>
              <w:spacing w:after="60" w:line="240" w:lineRule="auto"/>
              <w:ind w:left="357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3824A2">
              <w:rPr>
                <w:rFonts w:ascii="Arial" w:eastAsia="Calibri" w:hAnsi="Arial" w:cs="Arial"/>
                <w:color w:val="000000"/>
                <w:sz w:val="20"/>
                <w:szCs w:val="20"/>
              </w:rPr>
              <w:t>Матични</w:t>
            </w:r>
            <w:proofErr w:type="spellEnd"/>
            <w:r w:rsidRPr="003824A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24A2">
              <w:rPr>
                <w:rFonts w:ascii="Arial" w:eastAsia="Calibri" w:hAnsi="Arial" w:cs="Arial"/>
                <w:color w:val="000000"/>
                <w:sz w:val="20"/>
                <w:szCs w:val="20"/>
              </w:rPr>
              <w:t>број</w:t>
            </w:r>
            <w:proofErr w:type="spellEnd"/>
            <w:r w:rsidRPr="003824A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20053658</w:t>
            </w:r>
          </w:p>
        </w:tc>
      </w:tr>
      <w:tr w:rsidR="006C41AE" w:rsidRPr="006C41AE" w:rsidTr="006C41AE">
        <w:tc>
          <w:tcPr>
            <w:tcW w:w="9360" w:type="dxa"/>
          </w:tcPr>
          <w:p w:rsidR="006C41AE" w:rsidRPr="003824A2" w:rsidRDefault="006C41AE" w:rsidP="006C41AE">
            <w:pPr>
              <w:spacing w:after="0" w:line="240" w:lineRule="auto"/>
              <w:ind w:left="357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3824A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ПИБ: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103920327</w:t>
            </w:r>
          </w:p>
        </w:tc>
      </w:tr>
      <w:tr w:rsidR="006C41AE" w:rsidRPr="006C41AE" w:rsidTr="006C41AE">
        <w:trPr>
          <w:trHeight w:val="502"/>
        </w:trPr>
        <w:tc>
          <w:tcPr>
            <w:tcW w:w="9360" w:type="dxa"/>
          </w:tcPr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845-484849-65</w:t>
            </w:r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6C41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Управе за трезор</w:t>
            </w:r>
          </w:p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6C41AE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6C41AE" w:rsidRPr="006C41AE" w:rsidRDefault="006C41AE" w:rsidP="006C41AE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6C41AE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proofErr w:type="spellStart"/>
            <w:r w:rsidRPr="006C41AE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6C41AE" w:rsidRPr="006C41AE" w:rsidRDefault="006C41AE" w:rsidP="006C41AE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6C41AE" w:rsidRPr="006C41AE" w:rsidRDefault="006C41AE" w:rsidP="006C41AE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6C41AE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6C41AE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</w:t>
      </w:r>
      <w:r w:rsidR="004B737F">
        <w:rPr>
          <w:rFonts w:ascii="Arial" w:eastAsia="Calibri" w:hAnsi="Arial" w:cs="Arial"/>
          <w:b/>
          <w:sz w:val="20"/>
          <w:szCs w:val="20"/>
          <w:lang w:val="sr-Latn-RS" w:eastAsia="x-none"/>
        </w:rPr>
        <w:t>/</w:t>
      </w:r>
      <w:r w:rsidR="004B737F">
        <w:rPr>
          <w:rFonts w:ascii="Arial" w:eastAsia="Calibri" w:hAnsi="Arial" w:cs="Arial"/>
          <w:b/>
          <w:sz w:val="20"/>
          <w:szCs w:val="20"/>
          <w:lang w:val="sr-Cyrl-RS" w:eastAsia="x-none"/>
        </w:rPr>
        <w:t>уписати сопствени број уговора/</w:t>
      </w:r>
    </w:p>
    <w:p w:rsidR="006C41AE" w:rsidRPr="006C41AE" w:rsidRDefault="006C41AE" w:rsidP="006C41AE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6C41AE" w:rsidRPr="006C41AE" w:rsidRDefault="006C41AE" w:rsidP="006C41AE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6C41AE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6C41AE" w:rsidRPr="006C41AE" w:rsidRDefault="006C41AE" w:rsidP="006C41AE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:rsidR="004B737F" w:rsidRPr="003616CE" w:rsidRDefault="004B737F" w:rsidP="004B737F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3616C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3616CE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404-1-112/18-27 за набавку електричне енергије са балансном одговорношћу за период од 12 месеци</w:t>
      </w:r>
      <w:r w:rsidRPr="003616C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sr-Cyrl-CS" w:eastAsia="x-none"/>
        </w:rPr>
        <w:t>, Републичког фонда за здравствено осигурање, Републичког фонда за пензијско и инвалидско осигурање, Института Торлак и Стоматолошког факултета,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4B737F" w:rsidRPr="003616CE" w:rsidRDefault="004B737F" w:rsidP="004B737F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616CE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500F7D">
        <w:rPr>
          <w:rFonts w:ascii="Arial" w:eastAsia="Calibri" w:hAnsi="Arial" w:cs="Arial"/>
          <w:sz w:val="20"/>
          <w:szCs w:val="20"/>
          <w:lang w:val="sr-Cyrl-RS" w:eastAsia="x-none"/>
        </w:rPr>
        <w:t xml:space="preserve">Јавним предузећем </w:t>
      </w:r>
      <w:r w:rsidRPr="00500F7D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„ЕПС Београд“, </w:t>
      </w:r>
      <w:proofErr w:type="spellStart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Pr="00500F7D">
        <w:rPr>
          <w:rFonts w:ascii="Arial" w:eastAsia="Calibri" w:hAnsi="Arial" w:cs="Arial"/>
          <w:sz w:val="20"/>
          <w:szCs w:val="20"/>
          <w:lang w:val="sr-Latn-RS" w:eastAsia="x-none"/>
        </w:rPr>
        <w:t>404-1-29/18-12</w:t>
      </w:r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500F7D">
        <w:rPr>
          <w:rFonts w:ascii="Arial" w:eastAsia="Calibri" w:hAnsi="Arial" w:cs="Arial"/>
          <w:sz w:val="20"/>
          <w:szCs w:val="20"/>
          <w:lang w:val="sr-Latn-RS" w:eastAsia="x-none"/>
        </w:rPr>
        <w:t>31.07.</w:t>
      </w:r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201</w:t>
      </w:r>
      <w:r w:rsidRPr="00500F7D">
        <w:rPr>
          <w:rFonts w:ascii="Arial" w:eastAsia="Calibri" w:hAnsi="Arial" w:cs="Arial"/>
          <w:sz w:val="20"/>
          <w:szCs w:val="20"/>
          <w:lang w:val="sr-Cyrl-RS" w:eastAsia="x-none"/>
        </w:rPr>
        <w:t>8</w:t>
      </w:r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године</w:t>
      </w:r>
      <w:proofErr w:type="spellEnd"/>
      <w:r w:rsidRPr="00500F7D">
        <w:rPr>
          <w:rFonts w:ascii="Arial" w:eastAsia="Calibri" w:hAnsi="Arial" w:cs="Arial"/>
          <w:sz w:val="20"/>
          <w:szCs w:val="20"/>
          <w:lang w:val="x-none" w:eastAsia="x-none"/>
        </w:rPr>
        <w:t>,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</w:p>
    <w:p w:rsidR="004B737F" w:rsidRPr="003616CE" w:rsidRDefault="004B737F" w:rsidP="004B737F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616CE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3616CE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оквирним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62-1/18 </w:t>
      </w:r>
      <w:r w:rsidRPr="003616CE">
        <w:rPr>
          <w:rFonts w:ascii="Arial" w:eastAsia="Calibri" w:hAnsi="Arial" w:cs="Arial"/>
          <w:sz w:val="20"/>
          <w:szCs w:val="20"/>
          <w:lang w:val="sr-Cyrl-RS" w:eastAsia="x-none"/>
        </w:rPr>
        <w:t xml:space="preserve">од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21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.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08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.2018.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године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4B737F" w:rsidRPr="003616CE" w:rsidRDefault="004B737F" w:rsidP="004B737F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2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616CE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616CE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616CE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6C41AE" w:rsidRPr="006C41AE" w:rsidRDefault="006C41AE" w:rsidP="006C41AE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6C41AE" w:rsidRPr="006C41AE" w:rsidRDefault="006C41AE" w:rsidP="006C41AE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</w:t>
      </w:r>
      <w:r w:rsidRPr="006C41AE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електричне енергије са балансном одговорношћу у количинама и по динамици у складу са потребама Купца, а у свему према Техничкој спецификацији која је прилог Оквирног споразума бр. </w:t>
      </w:r>
      <w:r w:rsidR="004B737F" w:rsidRPr="004B737F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62-1/18 од 21.08.2018.године</w:t>
      </w:r>
      <w:r w:rsidRPr="006C41AE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, 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и  понудом Снабдевача бр</w:t>
      </w:r>
      <w:r w:rsidR="004B737F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18.01-339866/1-18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 xml:space="preserve"> од 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10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07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2018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>. године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6C41AE" w:rsidRPr="006C41AE" w:rsidRDefault="006C41AE" w:rsidP="006C41AE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6C41AE" w:rsidRPr="006C41AE" w:rsidRDefault="006C41AE" w:rsidP="006C41AE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6C41AE" w:rsidRPr="006C41AE" w:rsidRDefault="006C41AE" w:rsidP="006C41AE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6C41AE" w:rsidRPr="006C41AE" w:rsidRDefault="006C41AE" w:rsidP="006C41AE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 w:eastAsia="x-none"/>
        </w:rPr>
        <w:lastRenderedPageBreak/>
        <w:t>ЦЕНА И УГОВОРЕНА ВРЕДНОСТ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Цена из овог Уговора је цена за једницу мере </w:t>
      </w:r>
      <w:r w:rsidRPr="006C41AE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>kWh</w:t>
      </w: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наведена у оквирном споразуму бр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306BDF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="00306BDF" w:rsidRPr="00306BDF">
        <w:rPr>
          <w:rFonts w:ascii="Arial" w:eastAsia="Calibri" w:hAnsi="Arial" w:cs="Arial"/>
          <w:sz w:val="20"/>
          <w:szCs w:val="20"/>
          <w:lang w:val="sr-Cyrl-RS" w:eastAsia="x-none"/>
        </w:rPr>
        <w:t>62-1/18 од 21</w:t>
      </w:r>
      <w:r w:rsidR="00306BDF" w:rsidRPr="00306BDF">
        <w:rPr>
          <w:rFonts w:ascii="Arial" w:eastAsia="Calibri" w:hAnsi="Arial" w:cs="Arial"/>
          <w:sz w:val="20"/>
          <w:szCs w:val="20"/>
          <w:lang w:val="sr-Latn-RS" w:eastAsia="x-none"/>
        </w:rPr>
        <w:t>.</w:t>
      </w:r>
      <w:r w:rsidR="00306BDF" w:rsidRPr="00306BDF">
        <w:rPr>
          <w:rFonts w:ascii="Arial" w:eastAsia="Calibri" w:hAnsi="Arial" w:cs="Arial"/>
          <w:sz w:val="20"/>
          <w:szCs w:val="20"/>
          <w:lang w:val="sr-Cyrl-RS" w:eastAsia="x-none"/>
        </w:rPr>
        <w:t>08</w:t>
      </w:r>
      <w:r w:rsidR="00306BDF" w:rsidRPr="00306BDF">
        <w:rPr>
          <w:rFonts w:ascii="Arial" w:eastAsia="Calibri" w:hAnsi="Arial" w:cs="Arial"/>
          <w:sz w:val="20"/>
          <w:szCs w:val="20"/>
          <w:lang w:val="sr-Latn-RS" w:eastAsia="x-none"/>
        </w:rPr>
        <w:t>.2018.</w:t>
      </w:r>
      <w:r w:rsidR="00306BDF" w:rsidRPr="00306BDF">
        <w:rPr>
          <w:rFonts w:ascii="Arial" w:eastAsia="Calibri" w:hAnsi="Arial" w:cs="Arial"/>
          <w:sz w:val="20"/>
          <w:szCs w:val="20"/>
          <w:lang w:val="sr-Cyrl-RS" w:eastAsia="x-none"/>
        </w:rPr>
        <w:t>године</w:t>
      </w:r>
      <w:r w:rsidR="00306BDF" w:rsidRPr="00306BDF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и понуди Снабдевача бр</w:t>
      </w:r>
      <w:r w:rsidR="004B737F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18.01-339866/1-18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 xml:space="preserve"> од 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10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07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4B737F" w:rsidRPr="004B737F">
        <w:rPr>
          <w:rFonts w:ascii="Arial" w:eastAsia="Calibri" w:hAnsi="Arial" w:cs="Arial"/>
          <w:sz w:val="20"/>
          <w:szCs w:val="20"/>
          <w:lang w:val="sr-Cyrl-RS" w:eastAsia="x-none"/>
        </w:rPr>
        <w:t>2018</w:t>
      </w:r>
      <w:r w:rsidR="004B737F" w:rsidRPr="004B737F">
        <w:rPr>
          <w:rFonts w:ascii="Arial" w:eastAsia="Calibri" w:hAnsi="Arial" w:cs="Arial"/>
          <w:sz w:val="20"/>
          <w:szCs w:val="20"/>
          <w:lang w:val="sr-Cyrl-CS" w:eastAsia="x-none"/>
        </w:rPr>
        <w:t>. године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6C41AE" w:rsidRPr="006C41AE" w:rsidRDefault="006C41AE" w:rsidP="001D0583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sz w:val="20"/>
          <w:szCs w:val="20"/>
          <w:lang w:val="ru-RU" w:eastAsia="x-none"/>
        </w:rPr>
        <w:t xml:space="preserve">Јединична цена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за </w:t>
      </w:r>
      <w:r w:rsidRPr="006C41AE">
        <w:rPr>
          <w:rFonts w:ascii="Arial" w:eastAsia="Calibri" w:hAnsi="Arial" w:cs="Arial"/>
          <w:sz w:val="20"/>
          <w:szCs w:val="20"/>
          <w:lang w:val="sr-Latn-CS" w:eastAsia="x-none"/>
        </w:rPr>
        <w:t>кWh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ru-RU" w:eastAsia="x-none"/>
        </w:rPr>
        <w:t>без ПДВ-а</w:t>
      </w:r>
      <w:r w:rsidRPr="006C41AE">
        <w:rPr>
          <w:rFonts w:ascii="Arial" w:eastAsia="Calibri" w:hAnsi="Arial" w:cs="Arial"/>
          <w:sz w:val="20"/>
          <w:szCs w:val="20"/>
          <w:lang w:val="sr-Latn-C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износи </w:t>
      </w:r>
      <w:r w:rsidR="00306BDF" w:rsidRPr="00306BDF">
        <w:rPr>
          <w:rFonts w:ascii="Arial" w:eastAsia="Calibri" w:hAnsi="Arial" w:cs="Arial"/>
          <w:sz w:val="20"/>
          <w:szCs w:val="20"/>
          <w:lang w:val="sr-Cyrl-CS" w:eastAsia="x-none"/>
        </w:rPr>
        <w:t>6,76 (шест динара и 76/100) динара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6C41AE" w:rsidRPr="006C41AE" w:rsidRDefault="006C41AE" w:rsidP="001D0583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6C41AE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6C41AE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6C41AE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6C41AE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6C41AE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6C41AE" w:rsidRDefault="006C41AE" w:rsidP="00AD50C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ru-RU" w:eastAsia="x-none"/>
        </w:rPr>
      </w:pPr>
      <w:r w:rsidRPr="006C41AE">
        <w:rPr>
          <w:rFonts w:ascii="Arial" w:eastAsia="Calibri" w:hAnsi="Arial" w:cs="Arial"/>
          <w:sz w:val="20"/>
          <w:szCs w:val="20"/>
          <w:lang w:val="ru-RU" w:eastAsia="x-none"/>
        </w:rPr>
        <w:t>Уговорена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 јединична</w:t>
      </w:r>
      <w:r w:rsidRPr="006C41AE">
        <w:rPr>
          <w:rFonts w:ascii="Arial" w:eastAsia="Calibri" w:hAnsi="Arial" w:cs="Arial"/>
          <w:sz w:val="20"/>
          <w:szCs w:val="20"/>
          <w:lang w:val="ru-RU" w:eastAsia="x-none"/>
        </w:rPr>
        <w:t xml:space="preserve"> цена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 је фиксна за све време трајања уговора</w:t>
      </w:r>
      <w:r w:rsidRPr="006C41AE">
        <w:rPr>
          <w:rFonts w:ascii="Arial" w:eastAsia="Calibri" w:hAnsi="Arial" w:cs="Arial"/>
          <w:color w:val="000000"/>
          <w:sz w:val="20"/>
          <w:szCs w:val="20"/>
          <w:lang w:val="ru-RU" w:eastAsia="x-none"/>
        </w:rPr>
        <w:t>.</w:t>
      </w:r>
    </w:p>
    <w:p w:rsidR="00AD50CC" w:rsidRPr="006C41AE" w:rsidRDefault="00AD50CC" w:rsidP="00AD50C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ru-RU" w:eastAsia="x-none"/>
        </w:rPr>
      </w:pPr>
    </w:p>
    <w:p w:rsidR="006C41AE" w:rsidRPr="006C41AE" w:rsidRDefault="006C41AE" w:rsidP="001D0583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sz w:val="20"/>
          <w:szCs w:val="20"/>
          <w:lang w:val="ru-RU" w:eastAsia="x-none"/>
        </w:rPr>
        <w:t xml:space="preserve">У вредност из става 3. овог члана уговора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>урачунат</w:t>
      </w:r>
      <w:r w:rsidR="002B2BD4">
        <w:rPr>
          <w:rFonts w:ascii="Arial" w:eastAsia="Calibri" w:hAnsi="Arial" w:cs="Arial"/>
          <w:sz w:val="20"/>
          <w:szCs w:val="20"/>
          <w:lang w:eastAsia="x-none"/>
        </w:rPr>
        <w:t>a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eastAsia="x-none"/>
        </w:rPr>
        <w:t xml:space="preserve">je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укупн</w:t>
      </w:r>
      <w:r w:rsidRPr="006C41AE">
        <w:rPr>
          <w:rFonts w:ascii="Arial" w:eastAsia="Calibri" w:hAnsi="Arial" w:cs="Arial"/>
          <w:sz w:val="20"/>
          <w:szCs w:val="20"/>
          <w:lang w:eastAsia="x-none"/>
        </w:rPr>
        <w:t>a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 количин</w:t>
      </w:r>
      <w:r w:rsidRPr="006C41AE">
        <w:rPr>
          <w:rFonts w:ascii="Arial" w:eastAsia="Calibri" w:hAnsi="Arial" w:cs="Arial"/>
          <w:sz w:val="20"/>
          <w:szCs w:val="20"/>
          <w:lang w:eastAsia="x-none"/>
        </w:rPr>
        <w:t>a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 електричне енергије од _______________ </w:t>
      </w:r>
      <w:r w:rsidRPr="006C41AE">
        <w:rPr>
          <w:rFonts w:ascii="Arial" w:eastAsia="Calibri" w:hAnsi="Arial" w:cs="Arial"/>
          <w:sz w:val="20"/>
          <w:szCs w:val="20"/>
          <w:lang w:val="sr-Latn-RS" w:eastAsia="x-none"/>
        </w:rPr>
        <w:t>kWh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(уписује се број потребних </w:t>
      </w:r>
      <w:r w:rsidRPr="006C41AE">
        <w:rPr>
          <w:rFonts w:ascii="Arial" w:eastAsia="Calibri" w:hAnsi="Arial" w:cs="Arial"/>
          <w:sz w:val="20"/>
          <w:szCs w:val="20"/>
          <w:lang w:val="sr-Latn-RS" w:eastAsia="x-none"/>
        </w:rPr>
        <w:t xml:space="preserve">kWh),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као и трошкови приступа и коришћења система за дистрибуцију односно пренос електричне енергије, трошкови посебне накнаде за подстицај повлашћених произвођача, акцизе на електричну енергију, евентуални други порези, доприноси, додаци и накнаде које одређују надлежне државне институције, а који се на темељу позитивно-правних прописа који регулишу испоруку електричне енергије зарачунавају кроз рачун за електричну енергију. </w:t>
      </w:r>
    </w:p>
    <w:p w:rsidR="006C41AE" w:rsidRPr="006C41AE" w:rsidRDefault="006C41AE" w:rsidP="001D0583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6C41AE" w:rsidRPr="006C41AE" w:rsidRDefault="006C41AE" w:rsidP="006C41AE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:rsidR="006C41AE" w:rsidRPr="006C41AE" w:rsidRDefault="006C41AE" w:rsidP="001D058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1D0583" w:rsidRDefault="001D0583" w:rsidP="001D058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6C41AE" w:rsidRPr="006C41AE" w:rsidRDefault="006C41AE" w:rsidP="006C41AE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ru-RU" w:eastAsia="x-none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Купац плаћа утрошену количину електричне енергије</w:t>
      </w:r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по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јединичној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цен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и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>из члана 2. став 2.,као и остале трошкове из члана 2. став 5.,</w:t>
      </w:r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306BDF" w:rsidRPr="00306BDF">
        <w:rPr>
          <w:rFonts w:ascii="Arial" w:eastAsia="Calibri" w:hAnsi="Arial" w:cs="Arial"/>
          <w:sz w:val="20"/>
          <w:szCs w:val="20"/>
          <w:lang w:val="sr-Cyrl-RS" w:eastAsia="x-none"/>
        </w:rPr>
        <w:t xml:space="preserve">845-484849-65  код Управе за трезор, </w:t>
      </w:r>
      <w:proofErr w:type="spellStart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306BDF" w:rsidRPr="00306BDF">
        <w:rPr>
          <w:rFonts w:ascii="Arial" w:eastAsia="Calibri" w:hAnsi="Arial" w:cs="Arial"/>
          <w:sz w:val="20"/>
          <w:szCs w:val="20"/>
          <w:lang w:val="sr-Cyrl-CS" w:eastAsia="x-none"/>
        </w:rPr>
        <w:t xml:space="preserve">30 </w:t>
      </w:r>
      <w:proofErr w:type="spellStart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="00306BDF" w:rsidRPr="00306BD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306BDF" w:rsidRPr="00306BDF">
        <w:rPr>
          <w:rFonts w:ascii="Arial" w:eastAsia="Calibri" w:hAnsi="Arial" w:cs="Arial"/>
          <w:sz w:val="20"/>
          <w:szCs w:val="20"/>
          <w:lang w:val="sr-Cyrl-CS" w:eastAsia="x-none"/>
        </w:rPr>
        <w:t xml:space="preserve">издавања </w:t>
      </w:r>
      <w:r w:rsidR="00306BDF" w:rsidRPr="00306BDF">
        <w:rPr>
          <w:rFonts w:ascii="Arial" w:eastAsia="Calibri" w:hAnsi="Arial" w:cs="Arial"/>
          <w:sz w:val="20"/>
          <w:szCs w:val="20"/>
          <w:lang w:val="sr-Cyrl-RS" w:eastAsia="x-none"/>
        </w:rPr>
        <w:t>рачуна</w:t>
      </w:r>
      <w:r w:rsidRPr="006C41AE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6C41AE" w:rsidRPr="006C41AE" w:rsidRDefault="006C41AE" w:rsidP="006C41AE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</w:p>
    <w:p w:rsidR="006C41AE" w:rsidRPr="006C41AE" w:rsidRDefault="006C41AE" w:rsidP="006C41AE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>Трошков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е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из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став 5. Снабдевач</w:t>
      </w:r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ће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, у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оквиру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рачуна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уз таксативно навођење</w:t>
      </w:r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фактурисати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Купцу</w:t>
      </w:r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обрачунских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величина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места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примопредаје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sz w:val="20"/>
          <w:szCs w:val="20"/>
          <w:lang w:val="x-none" w:eastAsia="x-none"/>
        </w:rPr>
        <w:t>Купца</w:t>
      </w:r>
      <w:proofErr w:type="spellEnd"/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</w:p>
    <w:p w:rsidR="006C41AE" w:rsidRPr="006C41AE" w:rsidRDefault="006C41AE" w:rsidP="006C41AE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6C41AE" w:rsidRPr="006C41AE" w:rsidRDefault="006C41AE" w:rsidP="006C41AE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5.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 став 3. овог уговора.</w:t>
      </w:r>
    </w:p>
    <w:p w:rsidR="006C41AE" w:rsidRPr="006C41AE" w:rsidRDefault="006C41AE" w:rsidP="006C41AE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6C41AE" w:rsidRPr="006C41AE" w:rsidRDefault="006C41AE" w:rsidP="006C41AE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>Обавезе преузете уговором које доспевају у наредној буџетској години (2019.), биће реализоване највише до износа средстава која ће бити одобрена усвајањем финансијског плана за ту буџетску годину (2019.)</w:t>
      </w:r>
      <w:r w:rsidRPr="006C41AE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6C41AE" w:rsidRPr="006C41AE" w:rsidRDefault="006C41AE" w:rsidP="006C41AE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6C41AE" w:rsidRPr="006C41AE" w:rsidRDefault="006C41AE" w:rsidP="006C41AE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6C41AE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>КОЛИЧИНА И КВАЛИТЕТ ЕЛЕКТРИЧНЕ ЕНЕРГИЈЕ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6C41AE" w:rsidRPr="006C41AE" w:rsidRDefault="006C41AE" w:rsidP="006C41AE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0"/>
          <w:szCs w:val="10"/>
          <w:lang w:val="sr-Cyrl-RS" w:eastAsia="x-none"/>
        </w:rPr>
      </w:pPr>
    </w:p>
    <w:p w:rsidR="006C41AE" w:rsidRPr="006C41AE" w:rsidRDefault="006C41AE" w:rsidP="006C41AE">
      <w:pPr>
        <w:keepNext/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обавезу испоруке и продаје, односно преузимања и плаћања електричне енергије извршиће према следећем:</w:t>
      </w:r>
    </w:p>
    <w:p w:rsidR="006C41AE" w:rsidRPr="006C41AE" w:rsidRDefault="006C41AE" w:rsidP="006C41AE">
      <w:pPr>
        <w:keepNext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-</w:t>
      </w:r>
      <w:r w:rsidRPr="006C41AE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Врста продаје: потпуно снабдевање електричном енергијом са балансном одговорношћу</w:t>
      </w:r>
    </w:p>
    <w:p w:rsidR="006C41AE" w:rsidRPr="006C41AE" w:rsidRDefault="006C41AE" w:rsidP="006C41AE">
      <w:pPr>
        <w:keepNext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- Количина енергије: на основу остварене потрошње Купца</w:t>
      </w:r>
      <w:r w:rsidRPr="006C41AE">
        <w:rPr>
          <w:rFonts w:ascii="Arial" w:eastAsia="Times New Roman" w:hAnsi="Arial" w:cs="Arial"/>
          <w:b/>
          <w:bCs/>
          <w:sz w:val="20"/>
          <w:szCs w:val="20"/>
          <w:lang w:val="sr-Cyrl-CS" w:eastAsia="x-none"/>
        </w:rPr>
        <w:t xml:space="preserve"> </w:t>
      </w:r>
      <w:r w:rsidRPr="006C41AE">
        <w:rPr>
          <w:rFonts w:ascii="Arial" w:eastAsia="Times New Roman" w:hAnsi="Arial" w:cs="Arial"/>
          <w:bCs/>
          <w:sz w:val="20"/>
          <w:szCs w:val="20"/>
          <w:lang w:val="sr-Cyrl-CS" w:eastAsia="x-none"/>
        </w:rPr>
        <w:t>на местима испоруке током периода снабдевања;</w:t>
      </w:r>
    </w:p>
    <w:p w:rsidR="006C41AE" w:rsidRPr="006C41AE" w:rsidRDefault="006C41AE" w:rsidP="00AD50C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10"/>
          <w:szCs w:val="10"/>
          <w:lang w:val="sr-Cyrl-CS" w:eastAsia="x-none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Снабдевач се обавезује да испоручи електричну енергију у складу са 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Правилима о раду тржишта електричне енергије (''Сл. гласник РС'' бр. 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101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/1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6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од 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16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.12.2017. год), Правилима о раду дистрибутивног система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,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на кој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а</w:t>
      </w:r>
      <w:r w:rsidRPr="006C41A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сагласност даје Агенција за енергетику, Уредбом о условима испоруке и снабдевања електричном енергијом (''Сл. гласник РС'' бр. 63/13 од 19.07.2013. год), односно у складу са свим важећим законским и подзаконским прописима који регулишу испоруку и снабдевање електричном енергијом</w:t>
      </w: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lastRenderedPageBreak/>
        <w:t xml:space="preserve">Место испоруке су </w:t>
      </w:r>
      <w:proofErr w:type="spellStart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обрачунска</w:t>
      </w:r>
      <w:proofErr w:type="spellEnd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мерна</w:t>
      </w:r>
      <w:proofErr w:type="spellEnd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места</w:t>
      </w:r>
      <w:proofErr w:type="spellEnd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Купца</w:t>
      </w:r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прикључена</w:t>
      </w:r>
      <w:proofErr w:type="spellEnd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на</w:t>
      </w:r>
      <w:proofErr w:type="spellEnd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дистрибутивни</w:t>
      </w:r>
      <w:proofErr w:type="spellEnd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систем</w:t>
      </w:r>
      <w:proofErr w:type="spellEnd"/>
      <w:r w:rsidRPr="006C41AE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наведена у Прилогу </w:t>
      </w:r>
      <w:r w:rsidRPr="006C41AE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3 овог уговора</w:t>
      </w:r>
      <w:r w:rsidRPr="006C41AE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</w:p>
    <w:p w:rsidR="006C41AE" w:rsidRPr="006C41AE" w:rsidRDefault="006C41AE" w:rsidP="006C41AE">
      <w:pPr>
        <w:spacing w:after="6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6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 xml:space="preserve">Снабдевач је дужан да одмах по потписивању уговора закључи: </w:t>
      </w:r>
    </w:p>
    <w:p w:rsidR="006C41AE" w:rsidRPr="006C41AE" w:rsidRDefault="006C41AE" w:rsidP="006C41AE">
      <w:pPr>
        <w:spacing w:after="6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- Уговор о приступу систему са оператором система на који је објекат крајњег купца прикључен и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- Уговор којим преузима балансну одговорност за места примопредаје крајњег купца.</w:t>
      </w:r>
    </w:p>
    <w:p w:rsidR="006C41AE" w:rsidRPr="006C41AE" w:rsidRDefault="006C41AE" w:rsidP="006C41AE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6C41AE" w:rsidRPr="006C41AE" w:rsidRDefault="006C41AE" w:rsidP="006C41A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>Снабдевач је дужан да у случају појаве техничких или других сметњи у испоруци енергије, чији узрок није на објекту Купца, исте отклони у року од 24 часа, а најдуже два дана од дана пријема обавештења о сметњи.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>Сметњама у испоруци електричне енергије у смислу става 1. овог члана не сматрају се прекиди у испоруци електричне енергије настали услед примене мера које се предузимају у случају опште несташице, штедње и рационалне потрошње електричне енергије као и у случају поремећаја рада електроенергетског система и радова на одржавању и проширењу електроенергетског система.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>У случају кашњења у отклањању сметњи из става 1. овог члана, Снабдевач ће бити дужан да на име уговорне казне плати Купцу износ од 0,2% од укупно уговорене вредности без ПДВ-а, за сваки дан закашњења, уколико касни својом кривицом, с тим да укупан износ уговорне казне не може прећи 5% укупно уговорене вредности без ПДВ-а.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>Ако штета, која је настала услед кашњења прелази износ уговорне казне, Купац може да тражи накнаду стварне штете.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RS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AD50CC" w:rsidRDefault="00AD50CC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>Уколико после закључења уговора наступе околности више силе које доведу до ометања или онемогућавања извршења обавеза дефинисаних уговором, рокови извршења обавеза ће се продужити за време трајања више силе.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Виша сила подразумева екстремне и ванредне догађаје који се не могу предвидети, који су се догодили без воље и утицаја уговорних страна и који нису могли бити спречени од стране код које је наступила околност више силе. Вишом силом могу се сматрати поплаве,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 xml:space="preserve">Уговорна страна код које је наступила околност више силе, одмах ће у писаној форми у року од 24 </w:t>
      </w:r>
      <w:r w:rsidRPr="006C41AE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6C41AE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6C41A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1D0583" w:rsidRDefault="001D0583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AD50CC" w:rsidRDefault="00AD50CC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AD50CC" w:rsidRDefault="00AD50CC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1D0583" w:rsidRDefault="001D0583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1D0583" w:rsidRDefault="001D0583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1D0583" w:rsidRPr="006C41AE" w:rsidRDefault="001D0583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lastRenderedPageBreak/>
        <w:t xml:space="preserve">СПОРОВИ 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6C41AE" w:rsidRPr="006C41AE" w:rsidRDefault="006C41AE" w:rsidP="006C41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C41AE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15 дана од дана достављања писменог обавештења о отказу другој уговорној страни.  </w:t>
      </w:r>
    </w:p>
    <w:p w:rsidR="006C41AE" w:rsidRPr="006C41AE" w:rsidRDefault="006C41AE" w:rsidP="006C41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C41AE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6C41AE" w:rsidRPr="006C41AE" w:rsidRDefault="006C41AE" w:rsidP="001D0583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6C41AE" w:rsidRPr="006C41AE" w:rsidRDefault="006C41AE" w:rsidP="006C41AE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6C41AE" w:rsidRPr="006C41AE" w:rsidRDefault="006C41AE" w:rsidP="007738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6C41AE">
        <w:rPr>
          <w:rFonts w:ascii="Arial" w:eastAsia="Calibri" w:hAnsi="Arial" w:cs="Arial"/>
          <w:sz w:val="20"/>
          <w:szCs w:val="20"/>
          <w:lang w:val="sr-Cyrl-RS"/>
        </w:rPr>
        <w:tab/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6C41AE">
        <w:rPr>
          <w:rFonts w:ascii="Arial" w:eastAsia="Calibri" w:hAnsi="Arial" w:cs="Arial"/>
          <w:sz w:val="20"/>
          <w:szCs w:val="20"/>
          <w:lang w:val="sr-Cyrl-RS"/>
        </w:rPr>
        <w:t>да код уговорних страна настану промене пословног имена односно промене назива и статусне промене.</w:t>
      </w: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уговора могуће су у случајевима када код Купца наступе промене које захтевају искључење мерног места из Прилога 3 овог уговора или укључење новог мерног места, услед промене власништва, промене у вези са правом коришћења и евентуалним другим променама које настану после закључења уговора, а које захтевају промену података о мерним местима.</w:t>
      </w: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ab/>
        <w:t xml:space="preserve">Услед отказа односно искључења са система на једном мерном месту, уговор престаје да се примењује само за то мерно место. </w:t>
      </w: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ab/>
        <w:t xml:space="preserve">У случају настанка промена наведених у ставу 1. и 2. овог члана, уговорна страна код које је наступила промена ће писменим путем обавестити другу страну у року од 15 дана од дана наступања промена.  </w:t>
      </w: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6C41AE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6C41AE" w:rsidRPr="006C41AE" w:rsidRDefault="006C41AE" w:rsidP="006C41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6C41AE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6C41AE" w:rsidRPr="006C41AE" w:rsidRDefault="006C41AE" w:rsidP="007738E9">
      <w:pPr>
        <w:tabs>
          <w:tab w:val="left" w:pos="72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Calibri" w:eastAsia="Calibri" w:hAnsi="Calibri" w:cs="Arial"/>
          <w:szCs w:val="20"/>
          <w:lang w:val="sr-Cyrl-CS"/>
        </w:rPr>
        <w:tab/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6C41AE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3. овог уговора, а најдуже годину дана од дана закључења.</w:t>
      </w:r>
      <w:r w:rsidRPr="006C41AE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:rsidR="006C41AE" w:rsidRPr="006C41AE" w:rsidRDefault="006C41AE" w:rsidP="006C41AE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6C41AE" w:rsidRPr="006C41AE" w:rsidRDefault="006C41AE" w:rsidP="006C41AE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 xml:space="preserve"> ступа на снагу дана __.__._____. године.</w:t>
      </w:r>
    </w:p>
    <w:p w:rsidR="006C41AE" w:rsidRPr="006C41AE" w:rsidRDefault="006C41AE" w:rsidP="006C41AE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C41AE" w:rsidRDefault="006C41AE" w:rsidP="006C41AE">
      <w:pPr>
        <w:spacing w:after="0" w:line="240" w:lineRule="auto"/>
        <w:ind w:right="46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6C41AE">
        <w:rPr>
          <w:rFonts w:ascii="Arial" w:eastAsia="Calibri" w:hAnsi="Arial" w:cs="Arial"/>
          <w:sz w:val="20"/>
          <w:szCs w:val="20"/>
          <w:lang w:val="sr-Cyrl-RS"/>
        </w:rPr>
        <w:tab/>
      </w:r>
    </w:p>
    <w:p w:rsidR="007738E9" w:rsidRDefault="007738E9" w:rsidP="006C41AE">
      <w:pPr>
        <w:spacing w:after="0" w:line="240" w:lineRule="auto"/>
        <w:ind w:right="46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738E9" w:rsidRDefault="007738E9" w:rsidP="006C41AE">
      <w:pPr>
        <w:spacing w:after="0" w:line="240" w:lineRule="auto"/>
        <w:ind w:right="46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738E9" w:rsidRDefault="007738E9" w:rsidP="006C41AE">
      <w:pPr>
        <w:spacing w:after="0" w:line="240" w:lineRule="auto"/>
        <w:ind w:right="46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738E9" w:rsidRDefault="007738E9" w:rsidP="006C41AE">
      <w:pPr>
        <w:spacing w:after="0" w:line="240" w:lineRule="auto"/>
        <w:ind w:right="46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738E9" w:rsidRDefault="007738E9" w:rsidP="006C41AE">
      <w:pPr>
        <w:spacing w:after="0" w:line="240" w:lineRule="auto"/>
        <w:ind w:right="46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738E9" w:rsidRPr="006C41AE" w:rsidRDefault="007738E9" w:rsidP="006C41AE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lastRenderedPageBreak/>
        <w:t xml:space="preserve">ЗАВРШНЕ ОДРЕДБЕ 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11.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6C41AE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6C41AE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145/2014)</w:t>
      </w:r>
      <w:r w:rsidRPr="006C41AE">
        <w:rPr>
          <w:rFonts w:ascii="Arial" w:eastAsia="Calibri" w:hAnsi="Arial" w:cs="Arial"/>
          <w:sz w:val="20"/>
          <w:szCs w:val="20"/>
          <w:lang w:val="sr-Cyrl-RS"/>
        </w:rPr>
        <w:t xml:space="preserve">, Уредбе о условима испоруке електричне енергије </w:t>
      </w:r>
      <w:r w:rsidRPr="006C41A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(''Сл. гласник РС'' бр. 63/13) и других важећих законских и подзаконских прописа који регулишу испоруку електричне енергије. </w:t>
      </w: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6C41AE" w:rsidRPr="006C41AE" w:rsidRDefault="006C41AE" w:rsidP="006C41AE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b/>
          <w:sz w:val="20"/>
          <w:szCs w:val="20"/>
          <w:lang w:val="sr-Cyrl-CS"/>
        </w:rPr>
        <w:t>Члан 12.</w:t>
      </w:r>
    </w:p>
    <w:p w:rsidR="006C41AE" w:rsidRPr="006C41AE" w:rsidRDefault="006C41AE" w:rsidP="006C41AE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6C41AE" w:rsidRPr="006C41AE" w:rsidRDefault="006C41AE" w:rsidP="006C41AE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6C41AE" w:rsidRPr="006C41AE" w:rsidRDefault="006C41AE" w:rsidP="006C41AE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6C41AE" w:rsidRPr="006C41AE" w:rsidRDefault="006C41AE" w:rsidP="006C41AE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7738E9" w:rsidRPr="007738E9">
        <w:rPr>
          <w:rFonts w:ascii="Arial" w:eastAsia="Calibri" w:hAnsi="Arial" w:cs="Arial"/>
          <w:sz w:val="20"/>
          <w:szCs w:val="20"/>
          <w:lang w:val="sr-Cyrl-RS"/>
        </w:rPr>
        <w:t>62-1/18 од 21</w:t>
      </w:r>
      <w:r w:rsidR="007738E9" w:rsidRPr="007738E9">
        <w:rPr>
          <w:rFonts w:ascii="Arial" w:eastAsia="Calibri" w:hAnsi="Arial" w:cs="Arial"/>
          <w:sz w:val="20"/>
          <w:szCs w:val="20"/>
          <w:lang w:val="sr-Latn-RS"/>
        </w:rPr>
        <w:t>.</w:t>
      </w:r>
      <w:r w:rsidR="007738E9" w:rsidRPr="007738E9">
        <w:rPr>
          <w:rFonts w:ascii="Arial" w:eastAsia="Calibri" w:hAnsi="Arial" w:cs="Arial"/>
          <w:sz w:val="20"/>
          <w:szCs w:val="20"/>
          <w:lang w:val="sr-Cyrl-RS"/>
        </w:rPr>
        <w:t>08</w:t>
      </w:r>
      <w:r w:rsidR="007738E9" w:rsidRPr="007738E9">
        <w:rPr>
          <w:rFonts w:ascii="Arial" w:eastAsia="Calibri" w:hAnsi="Arial" w:cs="Arial"/>
          <w:sz w:val="20"/>
          <w:szCs w:val="20"/>
          <w:lang w:val="sr-Latn-RS"/>
        </w:rPr>
        <w:t>.2018.</w:t>
      </w:r>
      <w:r w:rsidR="007738E9" w:rsidRPr="007738E9">
        <w:rPr>
          <w:rFonts w:ascii="Arial" w:eastAsia="Calibri" w:hAnsi="Arial" w:cs="Arial"/>
          <w:sz w:val="20"/>
          <w:szCs w:val="20"/>
          <w:lang w:val="sr-Cyrl-RS"/>
        </w:rPr>
        <w:t>године</w:t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6C41AE" w:rsidRPr="006C41AE" w:rsidRDefault="006C41AE" w:rsidP="006C41AE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>Прилог бр.2 – Понуда Снабдевача бр</w:t>
      </w:r>
      <w:r w:rsidR="007738E9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 w:rsidR="007738E9" w:rsidRPr="007738E9">
        <w:rPr>
          <w:rFonts w:ascii="Arial" w:eastAsia="Calibri" w:hAnsi="Arial" w:cs="Arial"/>
          <w:sz w:val="20"/>
          <w:szCs w:val="20"/>
          <w:lang w:val="sr-Cyrl-RS"/>
        </w:rPr>
        <w:t>18.01-339866/1-18</w:t>
      </w:r>
      <w:r w:rsidR="007738E9" w:rsidRPr="007738E9">
        <w:rPr>
          <w:rFonts w:ascii="Arial" w:eastAsia="Calibri" w:hAnsi="Arial" w:cs="Arial"/>
          <w:sz w:val="20"/>
          <w:szCs w:val="20"/>
          <w:lang w:val="sr-Cyrl-CS"/>
        </w:rPr>
        <w:t xml:space="preserve"> од </w:t>
      </w:r>
      <w:r w:rsidR="007738E9" w:rsidRPr="007738E9">
        <w:rPr>
          <w:rFonts w:ascii="Arial" w:eastAsia="Calibri" w:hAnsi="Arial" w:cs="Arial"/>
          <w:sz w:val="20"/>
          <w:szCs w:val="20"/>
          <w:lang w:val="sr-Cyrl-RS"/>
        </w:rPr>
        <w:t>10</w:t>
      </w:r>
      <w:r w:rsidR="007738E9" w:rsidRPr="007738E9">
        <w:rPr>
          <w:rFonts w:ascii="Arial" w:eastAsia="Calibri" w:hAnsi="Arial" w:cs="Arial"/>
          <w:sz w:val="20"/>
          <w:szCs w:val="20"/>
          <w:lang w:val="sr-Cyrl-CS"/>
        </w:rPr>
        <w:t>.</w:t>
      </w:r>
      <w:r w:rsidR="007738E9" w:rsidRPr="007738E9">
        <w:rPr>
          <w:rFonts w:ascii="Arial" w:eastAsia="Calibri" w:hAnsi="Arial" w:cs="Arial"/>
          <w:sz w:val="20"/>
          <w:szCs w:val="20"/>
          <w:lang w:val="sr-Cyrl-RS"/>
        </w:rPr>
        <w:t>07</w:t>
      </w:r>
      <w:r w:rsidR="007738E9" w:rsidRPr="007738E9">
        <w:rPr>
          <w:rFonts w:ascii="Arial" w:eastAsia="Calibri" w:hAnsi="Arial" w:cs="Arial"/>
          <w:sz w:val="20"/>
          <w:szCs w:val="20"/>
          <w:lang w:val="sr-Cyrl-CS"/>
        </w:rPr>
        <w:t>.</w:t>
      </w:r>
      <w:r w:rsidR="007738E9" w:rsidRPr="007738E9">
        <w:rPr>
          <w:rFonts w:ascii="Arial" w:eastAsia="Calibri" w:hAnsi="Arial" w:cs="Arial"/>
          <w:sz w:val="20"/>
          <w:szCs w:val="20"/>
          <w:lang w:val="sr-Cyrl-RS"/>
        </w:rPr>
        <w:t>2018</w:t>
      </w:r>
      <w:r w:rsidR="007738E9" w:rsidRPr="007738E9">
        <w:rPr>
          <w:rFonts w:ascii="Arial" w:eastAsia="Calibri" w:hAnsi="Arial" w:cs="Arial"/>
          <w:sz w:val="20"/>
          <w:szCs w:val="20"/>
          <w:lang w:val="sr-Cyrl-CS"/>
        </w:rPr>
        <w:t>. године</w:t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6C41AE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</w:t>
      </w:r>
      <w:bookmarkStart w:id="5" w:name="_GoBack"/>
      <w:bookmarkEnd w:id="5"/>
      <w:r w:rsidRPr="006C41AE">
        <w:rPr>
          <w:rFonts w:ascii="Arial" w:eastAsia="Calibri" w:hAnsi="Arial" w:cs="Arial"/>
          <w:sz w:val="20"/>
          <w:szCs w:val="20"/>
          <w:lang w:val="sr-Cyrl-CS"/>
        </w:rPr>
        <w:t>– Списак мерних места Купца __________________ (</w:t>
      </w:r>
      <w:r w:rsidR="007738E9">
        <w:rPr>
          <w:rFonts w:ascii="Arial" w:eastAsia="Calibri" w:hAnsi="Arial" w:cs="Arial"/>
          <w:sz w:val="20"/>
          <w:szCs w:val="20"/>
          <w:lang w:val="sr-Cyrl-CS"/>
        </w:rPr>
        <w:t xml:space="preserve">уписати </w:t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 xml:space="preserve">назив </w:t>
      </w:r>
      <w:r w:rsidR="007738E9">
        <w:rPr>
          <w:rFonts w:ascii="Arial" w:eastAsia="Calibri" w:hAnsi="Arial" w:cs="Arial"/>
          <w:sz w:val="20"/>
          <w:szCs w:val="20"/>
          <w:lang w:val="sr-Cyrl-CS"/>
        </w:rPr>
        <w:t>здравствене установе</w:t>
      </w:r>
      <w:r w:rsidRPr="006C41AE">
        <w:rPr>
          <w:rFonts w:ascii="Arial" w:eastAsia="Calibri" w:hAnsi="Arial" w:cs="Arial"/>
          <w:sz w:val="20"/>
          <w:szCs w:val="20"/>
          <w:lang w:val="sr-Cyrl-CS"/>
        </w:rPr>
        <w:t>)</w:t>
      </w:r>
      <w:r w:rsidRPr="006C41AE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C41AE" w:rsidRPr="006C41AE" w:rsidRDefault="006C41AE" w:rsidP="006C41AE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RS"/>
        </w:rPr>
      </w:pPr>
    </w:p>
    <w:p w:rsidR="00B831C5" w:rsidRDefault="00B831C5" w:rsidP="002D0255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B831C5" w:rsidRPr="002D0255" w:rsidRDefault="00B831C5" w:rsidP="002D0255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tbl>
      <w:tblPr>
        <w:tblW w:w="10402" w:type="dxa"/>
        <w:tblLayout w:type="fixed"/>
        <w:tblLook w:val="04A0" w:firstRow="1" w:lastRow="0" w:firstColumn="1" w:lastColumn="0" w:noHBand="0" w:noVBand="1"/>
      </w:tblPr>
      <w:tblGrid>
        <w:gridCol w:w="5210"/>
        <w:gridCol w:w="5192"/>
      </w:tblGrid>
      <w:tr w:rsidR="00B831C5" w:rsidRPr="00A50D00" w:rsidTr="003227CC">
        <w:trPr>
          <w:trHeight w:val="236"/>
        </w:trPr>
        <w:tc>
          <w:tcPr>
            <w:tcW w:w="5210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  <w:t>ЗА КУПЦА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sr-Latn-CS" w:eastAsia="sr-Latn-CS"/>
              </w:rPr>
              <w:t>:</w:t>
            </w:r>
          </w:p>
        </w:tc>
        <w:tc>
          <w:tcPr>
            <w:tcW w:w="5192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  <w:t>ЗА СНАБДЕВАЧА:</w:t>
            </w:r>
          </w:p>
        </w:tc>
      </w:tr>
      <w:tr w:rsidR="00B831C5" w:rsidRPr="00A50D00" w:rsidTr="003227CC">
        <w:trPr>
          <w:trHeight w:val="236"/>
        </w:trPr>
        <w:tc>
          <w:tcPr>
            <w:tcW w:w="5210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192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831C5" w:rsidRPr="00A50D00" w:rsidTr="003227CC">
        <w:trPr>
          <w:trHeight w:val="236"/>
        </w:trPr>
        <w:tc>
          <w:tcPr>
            <w:tcW w:w="5210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192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831C5" w:rsidRPr="00A50D00" w:rsidTr="003227CC">
        <w:trPr>
          <w:trHeight w:val="236"/>
        </w:trPr>
        <w:tc>
          <w:tcPr>
            <w:tcW w:w="5210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A50D00"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5192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  <w:t>____________________________</w:t>
            </w:r>
          </w:p>
        </w:tc>
      </w:tr>
      <w:tr w:rsidR="00B831C5" w:rsidRPr="00A50D00" w:rsidTr="003227CC">
        <w:trPr>
          <w:trHeight w:val="236"/>
        </w:trPr>
        <w:tc>
          <w:tcPr>
            <w:tcW w:w="5210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192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  <w:t xml:space="preserve">извршни директор </w:t>
            </w:r>
          </w:p>
        </w:tc>
      </w:tr>
      <w:tr w:rsidR="00B831C5" w:rsidRPr="00A50D00" w:rsidTr="003227CC">
        <w:trPr>
          <w:trHeight w:val="236"/>
        </w:trPr>
        <w:tc>
          <w:tcPr>
            <w:tcW w:w="5210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192" w:type="dxa"/>
          </w:tcPr>
          <w:p w:rsidR="00B831C5" w:rsidRPr="00A50D00" w:rsidRDefault="00B831C5" w:rsidP="003227C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sr-Cyrl-RS" w:eastAsia="sr-Latn-CS"/>
              </w:rPr>
              <w:t>Горан Кнежевић</w:t>
            </w:r>
          </w:p>
        </w:tc>
      </w:tr>
    </w:tbl>
    <w:p w:rsidR="00042D65" w:rsidRDefault="00042D65"/>
    <w:sectPr w:rsidR="00042D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C8" w:rsidRDefault="00A635C8" w:rsidP="002D0255">
      <w:pPr>
        <w:spacing w:after="0" w:line="240" w:lineRule="auto"/>
      </w:pPr>
      <w:r>
        <w:separator/>
      </w:r>
    </w:p>
  </w:endnote>
  <w:endnote w:type="continuationSeparator" w:id="0">
    <w:p w:rsidR="00A635C8" w:rsidRDefault="00A635C8" w:rsidP="002D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7814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2D0255" w:rsidRPr="002D0255" w:rsidRDefault="002D025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D0255">
          <w:rPr>
            <w:rFonts w:ascii="Arial" w:hAnsi="Arial" w:cs="Arial"/>
            <w:sz w:val="20"/>
            <w:szCs w:val="20"/>
          </w:rPr>
          <w:fldChar w:fldCharType="begin"/>
        </w:r>
        <w:r w:rsidRPr="002D025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0255">
          <w:rPr>
            <w:rFonts w:ascii="Arial" w:hAnsi="Arial" w:cs="Arial"/>
            <w:sz w:val="20"/>
            <w:szCs w:val="20"/>
          </w:rPr>
          <w:fldChar w:fldCharType="separate"/>
        </w:r>
        <w:r w:rsidR="002B2BD4">
          <w:rPr>
            <w:rFonts w:ascii="Arial" w:hAnsi="Arial" w:cs="Arial"/>
            <w:noProof/>
            <w:sz w:val="20"/>
            <w:szCs w:val="20"/>
          </w:rPr>
          <w:t>5</w:t>
        </w:r>
        <w:r w:rsidRPr="002D025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2D0255" w:rsidRDefault="002D0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C8" w:rsidRDefault="00A635C8" w:rsidP="002D0255">
      <w:pPr>
        <w:spacing w:after="0" w:line="240" w:lineRule="auto"/>
      </w:pPr>
      <w:r>
        <w:separator/>
      </w:r>
    </w:p>
  </w:footnote>
  <w:footnote w:type="continuationSeparator" w:id="0">
    <w:p w:rsidR="00A635C8" w:rsidRDefault="00A635C8" w:rsidP="002D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60"/>
    <w:rsid w:val="00042D65"/>
    <w:rsid w:val="001D0583"/>
    <w:rsid w:val="002B2BD4"/>
    <w:rsid w:val="002D0255"/>
    <w:rsid w:val="00306BDF"/>
    <w:rsid w:val="004B737F"/>
    <w:rsid w:val="005C0737"/>
    <w:rsid w:val="006C41AE"/>
    <w:rsid w:val="00766167"/>
    <w:rsid w:val="007738E9"/>
    <w:rsid w:val="00A635C8"/>
    <w:rsid w:val="00AD50CC"/>
    <w:rsid w:val="00B831C5"/>
    <w:rsid w:val="00BD7E8F"/>
    <w:rsid w:val="00E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55B1-6564-4531-A48F-2A336939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255"/>
  </w:style>
  <w:style w:type="paragraph" w:styleId="Footer">
    <w:name w:val="footer"/>
    <w:basedOn w:val="Normal"/>
    <w:link w:val="FooterChar"/>
    <w:uiPriority w:val="99"/>
    <w:unhideWhenUsed/>
    <w:rsid w:val="002D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Ivkovic</dc:creator>
  <cp:keywords/>
  <dc:description/>
  <cp:lastModifiedBy>Tanja Ivkovic</cp:lastModifiedBy>
  <cp:revision>3</cp:revision>
  <dcterms:created xsi:type="dcterms:W3CDTF">2018-08-28T07:05:00Z</dcterms:created>
  <dcterms:modified xsi:type="dcterms:W3CDTF">2018-08-28T07:05:00Z</dcterms:modified>
</cp:coreProperties>
</file>