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25AAEB3A" w14:textId="77777777" w:rsidR="00EA0D76" w:rsidRPr="00EA0D76" w:rsidRDefault="00EA0D76" w:rsidP="00EA0D76">
      <w:pPr>
        <w:widowControl w:val="0"/>
        <w:spacing w:after="0" w:line="228" w:lineRule="auto"/>
        <w:ind w:left="426" w:right="2" w:hanging="10"/>
        <w:rPr>
          <w:rFonts w:eastAsia="Times New Roman" w:cs="Arial"/>
          <w:b/>
          <w:color w:val="000000"/>
          <w:szCs w:val="20"/>
          <w:lang w:val="en-US"/>
        </w:rPr>
      </w:pPr>
      <w:proofErr w:type="spellStart"/>
      <w:r w:rsidRPr="00EA0D76">
        <w:rPr>
          <w:rFonts w:eastAsia="Times New Roman" w:cs="Arial"/>
          <w:b/>
          <w:color w:val="000000"/>
          <w:szCs w:val="20"/>
          <w:lang w:val="en-US"/>
        </w:rPr>
        <w:t>Megapharm</w:t>
      </w:r>
      <w:proofErr w:type="spellEnd"/>
      <w:r w:rsidRPr="00EA0D76">
        <w:rPr>
          <w:rFonts w:eastAsia="Times New Roman" w:cs="Arial"/>
          <w:b/>
          <w:color w:val="000000"/>
          <w:szCs w:val="20"/>
          <w:lang w:val="en-US"/>
        </w:rPr>
        <w:t xml:space="preserve"> d.o.o., </w:t>
      </w:r>
      <w:proofErr w:type="spellStart"/>
      <w:r w:rsidRPr="00EA0D76">
        <w:rPr>
          <w:rFonts w:eastAsia="Times New Roman" w:cs="Arial"/>
          <w:b/>
          <w:color w:val="000000"/>
          <w:szCs w:val="20"/>
          <w:lang w:val="en-US"/>
        </w:rPr>
        <w:t>из</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Београда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улица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Марка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Николића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бр</w:t>
      </w:r>
      <w:proofErr w:type="spellEnd"/>
      <w:r w:rsidRPr="00EA0D76">
        <w:rPr>
          <w:rFonts w:eastAsia="Times New Roman" w:cs="Arial"/>
          <w:b/>
          <w:color w:val="000000"/>
          <w:szCs w:val="20"/>
          <w:lang w:val="en-US"/>
        </w:rPr>
        <w:t xml:space="preserve"> 9, </w:t>
      </w:r>
      <w:proofErr w:type="spellStart"/>
      <w:r w:rsidRPr="00EA0D76">
        <w:rPr>
          <w:rFonts w:eastAsia="Times New Roman" w:cs="Arial"/>
          <w:b/>
          <w:color w:val="000000"/>
          <w:szCs w:val="20"/>
          <w:lang w:val="en-US"/>
        </w:rPr>
        <w:t>кога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заступа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директор</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Милан</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Петковић</w:t>
      </w:r>
      <w:proofErr w:type="spellEnd"/>
      <w:r w:rsidRPr="00EA0D76">
        <w:rPr>
          <w:rFonts w:eastAsia="Times New Roman" w:cs="Arial"/>
          <w:b/>
          <w:color w:val="000000"/>
          <w:szCs w:val="20"/>
          <w:lang w:val="en-US"/>
        </w:rPr>
        <w:t xml:space="preserve"> </w:t>
      </w:r>
    </w:p>
    <w:p w14:paraId="290EC80B" w14:textId="77777777" w:rsidR="00EA0D76" w:rsidRPr="00EA0D76" w:rsidRDefault="00EA0D76" w:rsidP="00EA0D76">
      <w:pPr>
        <w:widowControl w:val="0"/>
        <w:spacing w:after="0" w:line="228" w:lineRule="auto"/>
        <w:ind w:left="426" w:right="2" w:hanging="10"/>
        <w:rPr>
          <w:rFonts w:eastAsia="Times New Roman" w:cs="Arial"/>
          <w:b/>
          <w:color w:val="000000"/>
          <w:szCs w:val="20"/>
          <w:lang w:val="en-US"/>
        </w:rPr>
      </w:pPr>
      <w:proofErr w:type="spellStart"/>
      <w:r w:rsidRPr="00EA0D76">
        <w:rPr>
          <w:rFonts w:eastAsia="Times New Roman" w:cs="Arial"/>
          <w:b/>
          <w:color w:val="000000"/>
          <w:szCs w:val="20"/>
          <w:lang w:val="en-US"/>
        </w:rPr>
        <w:t>Матични</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број</w:t>
      </w:r>
      <w:proofErr w:type="spellEnd"/>
      <w:r w:rsidRPr="00EA0D76">
        <w:rPr>
          <w:rFonts w:eastAsia="Times New Roman" w:cs="Arial"/>
          <w:b/>
          <w:color w:val="000000"/>
          <w:szCs w:val="20"/>
          <w:lang w:val="en-US"/>
        </w:rPr>
        <w:t>: 21688053</w:t>
      </w:r>
    </w:p>
    <w:p w14:paraId="371D1BC6" w14:textId="77777777" w:rsidR="00EA0D76" w:rsidRPr="00EA0D76" w:rsidRDefault="00EA0D76" w:rsidP="00EA0D76">
      <w:pPr>
        <w:widowControl w:val="0"/>
        <w:spacing w:after="0" w:line="228" w:lineRule="auto"/>
        <w:ind w:left="426" w:right="2" w:hanging="10"/>
        <w:rPr>
          <w:rFonts w:eastAsia="Times New Roman" w:cs="Arial"/>
          <w:b/>
          <w:color w:val="000000"/>
          <w:szCs w:val="20"/>
          <w:lang w:val="en-US"/>
        </w:rPr>
      </w:pPr>
      <w:r w:rsidRPr="00EA0D76">
        <w:rPr>
          <w:rFonts w:eastAsia="Times New Roman" w:cs="Arial"/>
          <w:b/>
          <w:color w:val="000000"/>
          <w:szCs w:val="20"/>
          <w:lang w:val="en-US"/>
        </w:rPr>
        <w:t>ПИБ: 112502755</w:t>
      </w:r>
    </w:p>
    <w:p w14:paraId="7B41C222" w14:textId="77777777" w:rsidR="00EA0D76" w:rsidRDefault="00EA0D76" w:rsidP="00EA0D76">
      <w:pPr>
        <w:widowControl w:val="0"/>
        <w:spacing w:after="0" w:line="228" w:lineRule="auto"/>
        <w:ind w:left="426" w:right="2" w:hanging="10"/>
        <w:rPr>
          <w:rFonts w:eastAsia="Times New Roman" w:cs="Arial"/>
          <w:b/>
          <w:color w:val="000000"/>
          <w:szCs w:val="20"/>
          <w:lang w:val="en-US"/>
        </w:rPr>
      </w:pPr>
      <w:proofErr w:type="spellStart"/>
      <w:r w:rsidRPr="00EA0D76">
        <w:rPr>
          <w:rFonts w:eastAsia="Times New Roman" w:cs="Arial"/>
          <w:b/>
          <w:color w:val="000000"/>
          <w:szCs w:val="20"/>
          <w:lang w:val="en-US"/>
        </w:rPr>
        <w:t>Број</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рачуна</w:t>
      </w:r>
      <w:proofErr w:type="spellEnd"/>
      <w:r w:rsidRPr="00EA0D76">
        <w:rPr>
          <w:rFonts w:eastAsia="Times New Roman" w:cs="Arial"/>
          <w:b/>
          <w:color w:val="000000"/>
          <w:szCs w:val="20"/>
          <w:lang w:val="en-US"/>
        </w:rPr>
        <w:t xml:space="preserve">: 205-420768-45 </w:t>
      </w:r>
      <w:proofErr w:type="spellStart"/>
      <w:r w:rsidRPr="00EA0D76">
        <w:rPr>
          <w:rFonts w:eastAsia="Times New Roman" w:cs="Arial"/>
          <w:b/>
          <w:color w:val="000000"/>
          <w:szCs w:val="20"/>
          <w:lang w:val="en-US"/>
        </w:rPr>
        <w:t>који</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се</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води</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код</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Комерцијална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банка</w:t>
      </w:r>
      <w:proofErr w:type="spellEnd"/>
      <w:r w:rsidRPr="00EA0D76">
        <w:rPr>
          <w:rFonts w:eastAsia="Times New Roman" w:cs="Arial"/>
          <w:b/>
          <w:color w:val="000000"/>
          <w:szCs w:val="20"/>
          <w:lang w:val="en-US"/>
        </w:rPr>
        <w:t xml:space="preserve"> </w:t>
      </w:r>
      <w:proofErr w:type="spellStart"/>
      <w:r w:rsidRPr="00EA0D76">
        <w:rPr>
          <w:rFonts w:eastAsia="Times New Roman" w:cs="Arial"/>
          <w:b/>
          <w:color w:val="000000"/>
          <w:szCs w:val="20"/>
          <w:lang w:val="en-US"/>
        </w:rPr>
        <w:t>а.д</w:t>
      </w:r>
      <w:proofErr w:type="spellEnd"/>
      <w:r w:rsidRPr="00EA0D76">
        <w:rPr>
          <w:rFonts w:eastAsia="Times New Roman" w:cs="Arial"/>
          <w:b/>
          <w:color w:val="000000"/>
          <w:szCs w:val="20"/>
          <w:lang w:val="en-US"/>
        </w:rPr>
        <w:t xml:space="preserve">. </w:t>
      </w:r>
    </w:p>
    <w:p w14:paraId="08BEAC9D" w14:textId="2E833980" w:rsidR="00986360" w:rsidRPr="008858BB" w:rsidRDefault="00986360" w:rsidP="00EA0D76">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77777777" w:rsidR="00986360" w:rsidRPr="008858BB" w:rsidRDefault="00986360" w:rsidP="00986360">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_______</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0A67BF6C"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854086">
        <w:rPr>
          <w:rFonts w:eastAsia="Arial" w:cs="Arial"/>
          <w:color w:val="000000"/>
          <w:szCs w:val="20"/>
          <w:lang w:val="sr-Latn-RS"/>
        </w:rPr>
        <w:t xml:space="preserve"> </w:t>
      </w:r>
      <w:r w:rsidR="00E05F8F">
        <w:rPr>
          <w:rFonts w:eastAsia="Arial" w:cs="Arial"/>
          <w:color w:val="000000"/>
          <w:szCs w:val="20"/>
        </w:rPr>
        <w:t>30-</w:t>
      </w:r>
      <w:r w:rsidR="00EA0D76">
        <w:rPr>
          <w:rFonts w:eastAsia="Arial" w:cs="Arial"/>
          <w:color w:val="000000"/>
          <w:szCs w:val="20"/>
          <w:lang w:val="en-US"/>
        </w:rPr>
        <w:t>5</w:t>
      </w:r>
      <w:r w:rsidR="00E05F8F">
        <w:rPr>
          <w:rFonts w:eastAsia="Arial" w:cs="Arial"/>
          <w:color w:val="000000"/>
          <w:szCs w:val="20"/>
        </w:rPr>
        <w:t>/22</w:t>
      </w:r>
      <w:r w:rsidRPr="008858BB">
        <w:rPr>
          <w:rFonts w:eastAsia="Arial" w:cs="Arial"/>
          <w:color w:val="000000"/>
          <w:szCs w:val="20"/>
        </w:rPr>
        <w:t xml:space="preserve"> од </w:t>
      </w:r>
      <w:r w:rsidR="002F0CF3">
        <w:rPr>
          <w:rFonts w:eastAsia="Arial" w:cs="Arial"/>
          <w:color w:val="000000"/>
          <w:szCs w:val="20"/>
          <w:lang w:val="sr-Latn-RS"/>
        </w:rPr>
        <w:t>22</w:t>
      </w:r>
      <w:r w:rsidRPr="008858BB">
        <w:rPr>
          <w:rFonts w:eastAsia="Arial" w:cs="Arial"/>
          <w:color w:val="000000"/>
          <w:szCs w:val="20"/>
        </w:rPr>
        <w:t>.</w:t>
      </w:r>
      <w:r w:rsidR="00E05F8F">
        <w:rPr>
          <w:rFonts w:eastAsia="Arial" w:cs="Arial"/>
          <w:color w:val="000000"/>
          <w:szCs w:val="20"/>
        </w:rPr>
        <w:t>02</w:t>
      </w:r>
      <w:r w:rsidRPr="008858BB">
        <w:rPr>
          <w:rFonts w:eastAsia="Arial" w:cs="Arial"/>
          <w:color w:val="000000"/>
          <w:szCs w:val="20"/>
        </w:rPr>
        <w:t>.</w:t>
      </w:r>
      <w:r w:rsidR="00E05F8F">
        <w:rPr>
          <w:rFonts w:eastAsia="Arial" w:cs="Arial"/>
          <w:color w:val="000000"/>
          <w:szCs w:val="20"/>
        </w:rPr>
        <w:t>2022</w:t>
      </w:r>
      <w:r w:rsidRPr="008858BB">
        <w:rPr>
          <w:rFonts w:eastAsia="Arial" w:cs="Arial"/>
          <w:color w:val="000000"/>
          <w:szCs w:val="20"/>
        </w:rPr>
        <w:t xml:space="preserve">. 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64192F11" w:rsidR="00986360" w:rsidRPr="002F0CF3"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30-</w:t>
      </w:r>
      <w:r w:rsidR="00EA0D76" w:rsidRPr="002F0CF3">
        <w:rPr>
          <w:rFonts w:eastAsia="Arial" w:cs="Arial"/>
          <w:color w:val="000000"/>
          <w:szCs w:val="20"/>
          <w:lang w:val="en-US"/>
        </w:rPr>
        <w:t>5</w:t>
      </w:r>
      <w:r w:rsidR="00E05F8F" w:rsidRPr="002F0CF3">
        <w:rPr>
          <w:rFonts w:eastAsia="Arial" w:cs="Arial"/>
          <w:color w:val="000000"/>
          <w:szCs w:val="20"/>
        </w:rPr>
        <w:t xml:space="preserve">/22 </w:t>
      </w:r>
      <w:r w:rsidRPr="002F0CF3">
        <w:rPr>
          <w:rFonts w:eastAsia="Arial" w:cs="Arial"/>
          <w:color w:val="000000"/>
          <w:szCs w:val="20"/>
        </w:rPr>
        <w:t xml:space="preserve">од </w:t>
      </w:r>
      <w:r w:rsidR="002F0CF3" w:rsidRPr="002F0CF3">
        <w:rPr>
          <w:rFonts w:eastAsia="Arial" w:cs="Arial"/>
          <w:color w:val="000000"/>
          <w:szCs w:val="20"/>
          <w:lang w:val="sr-Latn-RS"/>
        </w:rPr>
        <w:t>22</w:t>
      </w:r>
      <w:r w:rsidR="00E05F8F" w:rsidRPr="002F0CF3">
        <w:rPr>
          <w:rFonts w:eastAsia="Arial" w:cs="Arial"/>
          <w:color w:val="000000"/>
          <w:szCs w:val="20"/>
        </w:rPr>
        <w:t>.02.</w:t>
      </w:r>
      <w:r w:rsidRPr="002F0CF3">
        <w:rPr>
          <w:rFonts w:eastAsia="Arial" w:cs="Arial"/>
          <w:color w:val="000000"/>
          <w:szCs w:val="20"/>
        </w:rPr>
        <w:t>202</w:t>
      </w:r>
      <w:r w:rsidR="00E05F8F" w:rsidRPr="002F0CF3">
        <w:rPr>
          <w:rFonts w:eastAsia="Arial" w:cs="Arial"/>
          <w:color w:val="000000"/>
          <w:szCs w:val="20"/>
        </w:rPr>
        <w:t>2</w:t>
      </w:r>
      <w:r w:rsidRPr="002F0CF3">
        <w:rPr>
          <w:rFonts w:eastAsia="Arial" w:cs="Arial"/>
          <w:color w:val="000000"/>
          <w:szCs w:val="20"/>
        </w:rPr>
        <w:t xml:space="preserve">. године; </w:t>
      </w:r>
    </w:p>
    <w:p w14:paraId="075576A4" w14:textId="77777777" w:rsidR="00986360" w:rsidRPr="008858BB"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ЦЕНА И ПЛАЋАЊЕ </w:t>
      </w:r>
    </w:p>
    <w:p w14:paraId="50F86DA8" w14:textId="412F111A"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Цене из овог Уговора су јединичне цене наведене Спецификацији материјала са ценама из </w:t>
      </w:r>
      <w:r w:rsidRPr="00DA0400">
        <w:rPr>
          <w:rFonts w:eastAsia="Arial" w:cs="Arial"/>
          <w:color w:val="000000"/>
          <w:szCs w:val="20"/>
        </w:rPr>
        <w:t>члана 2. овог уговора које одговарају ценама из Оквирног споразума бр</w:t>
      </w:r>
      <w:r w:rsidR="00E05F8F" w:rsidRPr="00DA0400">
        <w:rPr>
          <w:rFonts w:eastAsia="Arial" w:cs="Arial"/>
          <w:color w:val="000000"/>
          <w:szCs w:val="20"/>
        </w:rPr>
        <w:t>. 30-</w:t>
      </w:r>
      <w:r w:rsidR="00EA0D76" w:rsidRPr="00DA0400">
        <w:rPr>
          <w:rFonts w:eastAsia="Arial" w:cs="Arial"/>
          <w:color w:val="000000"/>
          <w:szCs w:val="20"/>
          <w:lang w:val="en-US"/>
        </w:rPr>
        <w:t>5</w:t>
      </w:r>
      <w:r w:rsidR="00E05F8F" w:rsidRPr="00DA0400">
        <w:rPr>
          <w:rFonts w:eastAsia="Arial" w:cs="Arial"/>
          <w:color w:val="000000"/>
          <w:szCs w:val="20"/>
        </w:rPr>
        <w:t xml:space="preserve">/22 </w:t>
      </w:r>
      <w:r w:rsidRPr="00DA0400">
        <w:rPr>
          <w:rFonts w:eastAsia="Arial" w:cs="Arial"/>
          <w:color w:val="000000"/>
          <w:szCs w:val="20"/>
        </w:rPr>
        <w:t xml:space="preserve">од </w:t>
      </w:r>
      <w:r w:rsidR="00DA0400" w:rsidRPr="00DA0400">
        <w:rPr>
          <w:rFonts w:eastAsia="Arial" w:cs="Arial"/>
          <w:color w:val="000000"/>
          <w:szCs w:val="20"/>
          <w:lang w:val="sr-Latn-RS"/>
        </w:rPr>
        <w:t>22</w:t>
      </w:r>
      <w:r w:rsidRPr="00DA0400">
        <w:rPr>
          <w:rFonts w:eastAsia="Arial" w:cs="Arial"/>
          <w:color w:val="000000"/>
          <w:szCs w:val="20"/>
        </w:rPr>
        <w:t>.</w:t>
      </w:r>
      <w:r w:rsidR="00E05F8F" w:rsidRPr="00DA0400">
        <w:rPr>
          <w:rFonts w:eastAsia="Arial" w:cs="Arial"/>
          <w:color w:val="000000"/>
          <w:szCs w:val="20"/>
        </w:rPr>
        <w:t>02</w:t>
      </w:r>
      <w:r w:rsidRPr="00DA0400">
        <w:rPr>
          <w:rFonts w:eastAsia="Arial" w:cs="Arial"/>
          <w:color w:val="000000"/>
          <w:szCs w:val="20"/>
        </w:rPr>
        <w:t>.2022.</w:t>
      </w:r>
      <w:bookmarkStart w:id="0" w:name="_GoBack"/>
      <w:bookmarkEnd w:id="0"/>
      <w:r>
        <w:rPr>
          <w:rFonts w:eastAsia="Arial" w:cs="Arial"/>
          <w:color w:val="000000"/>
          <w:szCs w:val="20"/>
        </w:rPr>
        <w:t xml:space="preserve"> 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75B2E86D"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EA0D76">
        <w:rPr>
          <w:rFonts w:eastAsia="Arial" w:cs="Arial"/>
          <w:szCs w:val="20"/>
          <w:lang w:val="en-US"/>
        </w:rPr>
        <w:t>72</w:t>
      </w:r>
      <w:r w:rsidR="00E05F8F">
        <w:rPr>
          <w:rFonts w:eastAsia="Arial" w:cs="Arial"/>
          <w:szCs w:val="20"/>
        </w:rPr>
        <w:t xml:space="preserve">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lastRenderedPageBreak/>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2936A1"/>
    <w:rsid w:val="002F0CF3"/>
    <w:rsid w:val="00594D51"/>
    <w:rsid w:val="00854086"/>
    <w:rsid w:val="00986360"/>
    <w:rsid w:val="009A7A42"/>
    <w:rsid w:val="00DA0400"/>
    <w:rsid w:val="00E05F8F"/>
    <w:rsid w:val="00EA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9</cp:revision>
  <dcterms:created xsi:type="dcterms:W3CDTF">2022-02-11T14:24:00Z</dcterms:created>
  <dcterms:modified xsi:type="dcterms:W3CDTF">2022-02-21T13:01:00Z</dcterms:modified>
</cp:coreProperties>
</file>