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B9182B8" w14:textId="77777777" w:rsidR="007B368B" w:rsidRPr="009800C4" w:rsidRDefault="007B368B" w:rsidP="007B368B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14:paraId="38507C80" w14:textId="77777777" w:rsidR="007B368B" w:rsidRPr="00DD0069" w:rsidRDefault="007B368B" w:rsidP="007B368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14:paraId="02C50210" w14:textId="77777777" w:rsidR="007B368B" w:rsidRPr="00DD0069" w:rsidRDefault="007B368B" w:rsidP="007B368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14:paraId="5AECBED5" w14:textId="77777777" w:rsidR="007B368B" w:rsidRPr="009800C4" w:rsidRDefault="007B368B" w:rsidP="007B368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14:paraId="53A09125" w14:textId="0EE33ED5" w:rsidR="00CA4E07" w:rsidRDefault="00E1224D" w:rsidP="007B368B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2803B89C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47043C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47043C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47043C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47043C">
        <w:rPr>
          <w:rFonts w:ascii="Arial" w:hAnsi="Arial" w:cs="Arial"/>
          <w:sz w:val="20"/>
          <w:szCs w:val="20"/>
          <w:lang w:val="sr-Cyrl-RS"/>
        </w:rPr>
        <w:t>Лекови</w:t>
      </w:r>
      <w:r w:rsidR="0047043C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47043C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47043C" w:rsidRPr="00904941">
        <w:rPr>
          <w:rFonts w:ascii="Arial" w:hAnsi="Arial" w:cs="Arial"/>
          <w:sz w:val="20"/>
          <w:szCs w:val="20"/>
        </w:rPr>
        <w:t xml:space="preserve"> </w:t>
      </w:r>
      <w:r w:rsidR="0047043C">
        <w:rPr>
          <w:rFonts w:ascii="Arial" w:hAnsi="Arial" w:cs="Arial"/>
          <w:sz w:val="20"/>
          <w:szCs w:val="20"/>
          <w:lang w:val="sr-Cyrl-RS"/>
        </w:rPr>
        <w:t>Б</w:t>
      </w:r>
      <w:r w:rsidR="0047043C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7043C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47043C" w:rsidRPr="00904941">
        <w:rPr>
          <w:rFonts w:ascii="Arial" w:hAnsi="Arial" w:cs="Arial"/>
          <w:sz w:val="20"/>
          <w:szCs w:val="20"/>
        </w:rPr>
        <w:t xml:space="preserve"> </w:t>
      </w:r>
      <w:r w:rsidR="0047043C">
        <w:rPr>
          <w:rFonts w:ascii="Arial" w:hAnsi="Arial" w:cs="Arial"/>
          <w:sz w:val="20"/>
          <w:szCs w:val="20"/>
          <w:lang w:val="sr-Cyrl-RS"/>
        </w:rPr>
        <w:t>Д</w:t>
      </w:r>
      <w:r w:rsidR="0047043C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47043C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43C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47043C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47043C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47043C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3" w:name="_GoBack"/>
      <w:bookmarkEnd w:id="3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3CC312B2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8122A">
        <w:rPr>
          <w:rFonts w:ascii="Arial" w:eastAsia="Calibri" w:hAnsi="Arial" w:cs="Times New Roman"/>
          <w:sz w:val="20"/>
          <w:lang w:val="sr-Latn-RS"/>
        </w:rPr>
        <w:t>Vega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63E4DB0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48122A">
        <w:rPr>
          <w:rFonts w:ascii="Arial" w:hAnsi="Arial" w:cs="Arial"/>
          <w:sz w:val="20"/>
          <w:szCs w:val="20"/>
        </w:rPr>
        <w:t>25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7043C"/>
    <w:rsid w:val="0048122A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B368B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CDBA-697F-434D-B4DA-DF233D86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2021-10-26T10:15:00Z</dcterms:modified>
</cp:coreProperties>
</file>